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44" w:lineRule="exact"/>
        <w:rPr>
          <w:sz w:val="24"/>
          <w:szCs w:val="24"/>
          <w:color w:val="auto"/>
        </w:rPr>
      </w:pPr>
    </w:p>
    <w:p>
      <w:pPr>
        <w:ind w:left="880"/>
        <w:spacing w:after="0" w:line="473" w:lineRule="exact"/>
        <w:rPr>
          <w:sz w:val="20"/>
          <w:szCs w:val="20"/>
          <w:color w:val="auto"/>
        </w:rPr>
      </w:pPr>
      <w:r>
        <w:rPr>
          <w:rFonts w:ascii="宋体" w:cs="宋体" w:eastAsia="宋体" w:hAnsi="宋体"/>
          <w:sz w:val="39"/>
          <w:szCs w:val="39"/>
          <w:color w:val="auto"/>
        </w:rPr>
        <w:t>河南省财政厅</w:t>
      </w:r>
      <w:r>
        <w:rPr>
          <w:rFonts w:ascii="Arial" w:cs="Arial" w:eastAsia="Arial" w:hAnsi="Arial"/>
          <w:sz w:val="39"/>
          <w:szCs w:val="39"/>
          <w:color w:val="auto"/>
        </w:rPr>
        <w:t>PPP</w:t>
      </w:r>
      <w:r>
        <w:rPr>
          <w:rFonts w:ascii="宋体" w:cs="宋体" w:eastAsia="宋体" w:hAnsi="宋体"/>
          <w:sz w:val="39"/>
          <w:szCs w:val="39"/>
          <w:color w:val="auto"/>
        </w:rPr>
        <w:t>项目规范性核查要点</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561975</wp:posOffset>
            </wp:positionH>
            <wp:positionV relativeFrom="paragraph">
              <wp:posOffset>-207010</wp:posOffset>
            </wp:positionV>
            <wp:extent cx="250190" cy="25019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extLst>
                    </a:blip>
                    <a:srcRect/>
                    <a:stretch>
                      <a:fillRect/>
                    </a:stretch>
                  </pic:blipFill>
                  <pic:spPr bwMode="auto">
                    <a:xfrm>
                      <a:off x="0" y="0"/>
                      <a:ext cx="250190" cy="250190"/>
                    </a:xfrm>
                    <a:prstGeom prst="rect">
                      <a:avLst/>
                    </a:prstGeom>
                    <a:noFill/>
                  </pic:spPr>
                </pic:pic>
              </a:graphicData>
            </a:graphic>
          </wp:anchor>
        </w:drawing>
      </w:r>
    </w:p>
    <w:p>
      <w:pPr>
        <w:spacing w:after="0" w:line="200" w:lineRule="exact"/>
        <w:rPr>
          <w:sz w:val="24"/>
          <w:szCs w:val="24"/>
          <w:color w:val="auto"/>
        </w:rPr>
      </w:pPr>
    </w:p>
    <w:p>
      <w:pPr>
        <w:spacing w:after="0" w:line="200" w:lineRule="exact"/>
        <w:rPr>
          <w:sz w:val="24"/>
          <w:szCs w:val="24"/>
          <w:color w:val="auto"/>
        </w:rPr>
      </w:pPr>
    </w:p>
    <w:p>
      <w:pPr>
        <w:spacing w:after="0" w:line="372" w:lineRule="exact"/>
        <w:rPr>
          <w:sz w:val="24"/>
          <w:szCs w:val="24"/>
          <w:color w:val="auto"/>
        </w:rPr>
      </w:pPr>
    </w:p>
    <w:p>
      <w:pPr>
        <w:ind w:left="720"/>
        <w:spacing w:after="0" w:line="331" w:lineRule="exact"/>
        <w:rPr>
          <w:sz w:val="20"/>
          <w:szCs w:val="20"/>
          <w:color w:val="auto"/>
        </w:rPr>
      </w:pPr>
      <w:r>
        <w:rPr>
          <w:rFonts w:ascii="宋体" w:cs="宋体" w:eastAsia="宋体" w:hAnsi="宋体"/>
          <w:sz w:val="29"/>
          <w:szCs w:val="29"/>
          <w:color w:val="auto"/>
        </w:rPr>
        <w:t>一、识别阶段和准备阶段的核查要点</w:t>
      </w:r>
    </w:p>
    <w:p>
      <w:pPr>
        <w:spacing w:after="0" w:line="255" w:lineRule="exact"/>
        <w:rPr>
          <w:sz w:val="24"/>
          <w:szCs w:val="24"/>
          <w:color w:val="auto"/>
        </w:rPr>
      </w:pPr>
    </w:p>
    <w:p>
      <w:pPr>
        <w:ind w:left="720"/>
        <w:spacing w:after="0" w:line="352" w:lineRule="exact"/>
        <w:rPr>
          <w:sz w:val="20"/>
          <w:szCs w:val="20"/>
          <w:color w:val="auto"/>
        </w:rPr>
      </w:pPr>
      <w:r>
        <w:rPr>
          <w:rFonts w:ascii="Arial" w:cs="Arial" w:eastAsia="Arial" w:hAnsi="Arial"/>
          <w:sz w:val="29"/>
          <w:szCs w:val="29"/>
          <w:color w:val="auto"/>
        </w:rPr>
        <w:t>(</w:t>
      </w:r>
      <w:r>
        <w:rPr>
          <w:rFonts w:ascii="宋体" w:cs="宋体" w:eastAsia="宋体" w:hAnsi="宋体"/>
          <w:sz w:val="29"/>
          <w:szCs w:val="29"/>
          <w:color w:val="auto"/>
        </w:rPr>
        <w:t>一</w:t>
      </w:r>
      <w:r>
        <w:rPr>
          <w:rFonts w:ascii="Arial" w:cs="Arial" w:eastAsia="Arial" w:hAnsi="Arial"/>
          <w:sz w:val="29"/>
          <w:szCs w:val="29"/>
          <w:color w:val="auto"/>
        </w:rPr>
        <w:t>)</w:t>
      </w:r>
      <w:r>
        <w:rPr>
          <w:rFonts w:ascii="宋体" w:cs="宋体" w:eastAsia="宋体" w:hAnsi="宋体"/>
          <w:sz w:val="29"/>
          <w:szCs w:val="29"/>
          <w:color w:val="auto"/>
        </w:rPr>
        <w:t>立项及批复</w:t>
      </w:r>
    </w:p>
    <w:p>
      <w:pPr>
        <w:spacing w:after="0" w:line="237" w:lineRule="exact"/>
        <w:rPr>
          <w:sz w:val="24"/>
          <w:szCs w:val="24"/>
          <w:color w:val="auto"/>
        </w:rPr>
      </w:pPr>
    </w:p>
    <w:p>
      <w:pPr>
        <w:ind w:left="1120" w:hanging="468"/>
        <w:spacing w:after="0" w:line="352" w:lineRule="exact"/>
        <w:tabs>
          <w:tab w:leader="none" w:pos="1120" w:val="left"/>
        </w:tabs>
        <w:numPr>
          <w:ilvl w:val="0"/>
          <w:numId w:val="1"/>
        </w:numPr>
        <w:rPr>
          <w:rFonts w:ascii="Arial" w:cs="Arial" w:eastAsia="Arial" w:hAnsi="Arial"/>
          <w:sz w:val="29"/>
          <w:szCs w:val="29"/>
          <w:color w:val="auto"/>
        </w:rPr>
      </w:pPr>
      <w:r>
        <w:rPr>
          <w:rFonts w:ascii="宋体" w:cs="宋体" w:eastAsia="宋体" w:hAnsi="宋体"/>
          <w:sz w:val="29"/>
          <w:szCs w:val="29"/>
          <w:color w:val="auto"/>
        </w:rPr>
        <w:t>新建项目</w:t>
      </w:r>
      <w:r>
        <w:rPr>
          <w:rFonts w:ascii="Arial" w:cs="Arial" w:eastAsia="Arial" w:hAnsi="Arial"/>
          <w:sz w:val="29"/>
          <w:szCs w:val="29"/>
          <w:color w:val="auto"/>
        </w:rPr>
        <w:t xml:space="preserve"> (</w:t>
      </w:r>
      <w:r>
        <w:rPr>
          <w:rFonts w:ascii="宋体" w:cs="宋体" w:eastAsia="宋体" w:hAnsi="宋体"/>
          <w:sz w:val="29"/>
          <w:szCs w:val="29"/>
          <w:color w:val="auto"/>
        </w:rPr>
        <w:t>指尚未开工或虽已开工但尚未办理竣工决算</w:t>
      </w:r>
      <w:r>
        <w:rPr>
          <w:rFonts w:ascii="Arial" w:cs="Arial" w:eastAsia="Arial" w:hAnsi="Arial"/>
          <w:sz w:val="29"/>
          <w:szCs w:val="29"/>
          <w:color w:val="auto"/>
        </w:rPr>
        <w:t>,</w:t>
      </w:r>
    </w:p>
    <w:p>
      <w:pPr>
        <w:spacing w:after="0" w:line="237" w:lineRule="exact"/>
        <w:rPr>
          <w:sz w:val="24"/>
          <w:szCs w:val="24"/>
          <w:color w:val="auto"/>
        </w:rPr>
      </w:pPr>
    </w:p>
    <w:p>
      <w:pPr>
        <w:ind w:left="100" w:right="160"/>
        <w:spacing w:after="0" w:line="586" w:lineRule="exact"/>
        <w:rPr>
          <w:sz w:val="20"/>
          <w:szCs w:val="20"/>
          <w:color w:val="auto"/>
        </w:rPr>
      </w:pPr>
      <w:r>
        <w:rPr>
          <w:rFonts w:ascii="宋体" w:cs="宋体" w:eastAsia="宋体" w:hAnsi="宋体"/>
          <w:sz w:val="29"/>
          <w:szCs w:val="29"/>
          <w:color w:val="auto"/>
        </w:rPr>
        <w:t>未投入使用的项目</w:t>
      </w:r>
      <w:r>
        <w:rPr>
          <w:rFonts w:ascii="Arial" w:cs="Arial" w:eastAsia="Arial" w:hAnsi="Arial"/>
          <w:sz w:val="29"/>
          <w:szCs w:val="29"/>
          <w:color w:val="auto"/>
        </w:rPr>
        <w:t>)</w:t>
      </w:r>
      <w:r>
        <w:rPr>
          <w:rFonts w:ascii="宋体" w:cs="宋体" w:eastAsia="宋体" w:hAnsi="宋体"/>
          <w:sz w:val="29"/>
          <w:szCs w:val="29"/>
          <w:color w:val="auto"/>
        </w:rPr>
        <w:t>或项目组合存量有新建内容</w:t>
      </w:r>
      <w:r>
        <w:rPr>
          <w:rFonts w:ascii="Arial" w:cs="Arial" w:eastAsia="Arial" w:hAnsi="Arial"/>
          <w:sz w:val="29"/>
          <w:szCs w:val="29"/>
          <w:color w:val="auto"/>
        </w:rPr>
        <w:t>,</w:t>
      </w:r>
      <w:r>
        <w:rPr>
          <w:rFonts w:ascii="宋体" w:cs="宋体" w:eastAsia="宋体" w:hAnsi="宋体"/>
          <w:sz w:val="29"/>
          <w:szCs w:val="29"/>
          <w:color w:val="auto"/>
        </w:rPr>
        <w:t>未上传新建内容立项报告及有权审批部门的批复文件</w:t>
      </w:r>
      <w:r>
        <w:rPr>
          <w:rFonts w:ascii="Arial" w:cs="Arial" w:eastAsia="Arial" w:hAnsi="Arial"/>
          <w:sz w:val="29"/>
          <w:szCs w:val="29"/>
          <w:color w:val="auto"/>
        </w:rPr>
        <w:t xml:space="preserve"> (</w:t>
      </w:r>
      <w:r>
        <w:rPr>
          <w:rFonts w:ascii="宋体" w:cs="宋体" w:eastAsia="宋体" w:hAnsi="宋体"/>
          <w:sz w:val="29"/>
          <w:szCs w:val="29"/>
          <w:color w:val="auto"/>
        </w:rPr>
        <w:t>审批</w:t>
      </w:r>
      <w:r>
        <w:rPr>
          <w:rFonts w:ascii="Arial" w:cs="Arial" w:eastAsia="Arial" w:hAnsi="Arial"/>
          <w:sz w:val="29"/>
          <w:szCs w:val="29"/>
          <w:color w:val="auto"/>
        </w:rPr>
        <w:t>/</w:t>
      </w:r>
      <w:r>
        <w:rPr>
          <w:rFonts w:ascii="宋体" w:cs="宋体" w:eastAsia="宋体" w:hAnsi="宋体"/>
          <w:sz w:val="29"/>
          <w:szCs w:val="29"/>
          <w:color w:val="auto"/>
        </w:rPr>
        <w:t>核准</w:t>
      </w:r>
      <w:r>
        <w:rPr>
          <w:rFonts w:ascii="Arial" w:cs="Arial" w:eastAsia="Arial" w:hAnsi="Arial"/>
          <w:sz w:val="29"/>
          <w:szCs w:val="29"/>
          <w:color w:val="auto"/>
        </w:rPr>
        <w:t>/</w:t>
      </w:r>
      <w:r>
        <w:rPr>
          <w:rFonts w:ascii="宋体" w:cs="宋体" w:eastAsia="宋体" w:hAnsi="宋体"/>
          <w:sz w:val="29"/>
          <w:szCs w:val="29"/>
          <w:color w:val="auto"/>
        </w:rPr>
        <w:t>备案</w:t>
      </w:r>
      <w:r>
        <w:rPr>
          <w:rFonts w:ascii="Arial" w:cs="Arial" w:eastAsia="Arial" w:hAnsi="Arial"/>
          <w:sz w:val="29"/>
          <w:szCs w:val="29"/>
          <w:color w:val="auto"/>
        </w:rPr>
        <w:t>)</w:t>
      </w:r>
      <w:r>
        <w:rPr>
          <w:rFonts w:ascii="宋体" w:cs="宋体" w:eastAsia="宋体" w:hAnsi="宋体"/>
          <w:sz w:val="29"/>
          <w:szCs w:val="29"/>
          <w:color w:val="auto"/>
        </w:rPr>
        <w:t>的</w:t>
      </w:r>
      <w:r>
        <w:rPr>
          <w:rFonts w:ascii="Arial" w:cs="Arial" w:eastAsia="Arial" w:hAnsi="Arial"/>
          <w:sz w:val="29"/>
          <w:szCs w:val="29"/>
          <w:color w:val="auto"/>
        </w:rPr>
        <w:t>;</w:t>
      </w:r>
    </w:p>
    <w:p>
      <w:pPr>
        <w:spacing w:after="0" w:line="3" w:lineRule="exact"/>
        <w:rPr>
          <w:sz w:val="24"/>
          <w:szCs w:val="24"/>
          <w:color w:val="auto"/>
        </w:rPr>
      </w:pPr>
    </w:p>
    <w:p>
      <w:pPr>
        <w:ind w:left="1120" w:hanging="468"/>
        <w:spacing w:after="0" w:line="352" w:lineRule="exact"/>
        <w:tabs>
          <w:tab w:leader="none" w:pos="1120" w:val="left"/>
        </w:tabs>
        <w:numPr>
          <w:ilvl w:val="0"/>
          <w:numId w:val="2"/>
        </w:numPr>
        <w:rPr>
          <w:rFonts w:ascii="Arial" w:cs="Arial" w:eastAsia="Arial" w:hAnsi="Arial"/>
          <w:sz w:val="29"/>
          <w:szCs w:val="29"/>
          <w:color w:val="auto"/>
        </w:rPr>
      </w:pPr>
      <w:r>
        <w:rPr>
          <w:rFonts w:ascii="宋体" w:cs="宋体" w:eastAsia="宋体" w:hAnsi="宋体"/>
          <w:sz w:val="29"/>
          <w:szCs w:val="29"/>
          <w:color w:val="auto"/>
        </w:rPr>
        <w:t>打包类项目的立项报告及批复上传不完整的</w:t>
      </w:r>
      <w:r>
        <w:rPr>
          <w:rFonts w:ascii="Arial" w:cs="Arial" w:eastAsia="Arial" w:hAnsi="Arial"/>
          <w:sz w:val="29"/>
          <w:szCs w:val="29"/>
          <w:color w:val="auto"/>
        </w:rPr>
        <w:t>;</w:t>
      </w:r>
    </w:p>
    <w:p>
      <w:pPr>
        <w:spacing w:after="0" w:line="379" w:lineRule="exact"/>
        <w:rPr>
          <w:rFonts w:ascii="Arial" w:cs="Arial" w:eastAsia="Arial" w:hAnsi="Arial"/>
          <w:sz w:val="29"/>
          <w:szCs w:val="29"/>
          <w:color w:val="auto"/>
        </w:rPr>
      </w:pPr>
    </w:p>
    <w:p>
      <w:pPr>
        <w:ind w:left="1120" w:hanging="468"/>
        <w:spacing w:after="0" w:line="352" w:lineRule="exact"/>
        <w:tabs>
          <w:tab w:leader="none" w:pos="1120" w:val="left"/>
        </w:tabs>
        <w:numPr>
          <w:ilvl w:val="0"/>
          <w:numId w:val="2"/>
        </w:numPr>
        <w:rPr>
          <w:rFonts w:ascii="Arial" w:cs="Arial" w:eastAsia="Arial" w:hAnsi="Arial"/>
          <w:sz w:val="29"/>
          <w:szCs w:val="29"/>
          <w:color w:val="auto"/>
        </w:rPr>
      </w:pPr>
      <w:r>
        <w:rPr>
          <w:rFonts w:ascii="宋体" w:cs="宋体" w:eastAsia="宋体" w:hAnsi="宋体"/>
          <w:sz w:val="29"/>
          <w:szCs w:val="29"/>
          <w:color w:val="auto"/>
        </w:rPr>
        <w:t>立项报告的批复超出有效期限的。</w:t>
      </w:r>
    </w:p>
    <w:p>
      <w:pPr>
        <w:spacing w:after="0" w:line="94" w:lineRule="exact"/>
        <w:rPr>
          <w:sz w:val="24"/>
          <w:szCs w:val="24"/>
          <w:color w:val="auto"/>
        </w:rPr>
      </w:pPr>
    </w:p>
    <w:p>
      <w:pPr>
        <w:ind w:left="720"/>
        <w:spacing w:after="0" w:line="352" w:lineRule="exact"/>
        <w:rPr>
          <w:sz w:val="20"/>
          <w:szCs w:val="20"/>
          <w:color w:val="auto"/>
        </w:rPr>
      </w:pPr>
      <w:r>
        <w:rPr>
          <w:rFonts w:ascii="Arial" w:cs="Arial" w:eastAsia="Arial" w:hAnsi="Arial"/>
          <w:sz w:val="29"/>
          <w:szCs w:val="29"/>
          <w:color w:val="auto"/>
        </w:rPr>
        <w:t>(</w:t>
      </w:r>
      <w:r>
        <w:rPr>
          <w:rFonts w:ascii="宋体" w:cs="宋体" w:eastAsia="宋体" w:hAnsi="宋体"/>
          <w:sz w:val="29"/>
          <w:szCs w:val="29"/>
          <w:color w:val="auto"/>
        </w:rPr>
        <w:t>二</w:t>
      </w:r>
      <w:r>
        <w:rPr>
          <w:rFonts w:ascii="Arial" w:cs="Arial" w:eastAsia="Arial" w:hAnsi="Arial"/>
          <w:sz w:val="29"/>
          <w:szCs w:val="29"/>
          <w:color w:val="auto"/>
        </w:rPr>
        <w:t>)</w:t>
      </w:r>
      <w:r>
        <w:rPr>
          <w:rFonts w:ascii="宋体" w:cs="宋体" w:eastAsia="宋体" w:hAnsi="宋体"/>
          <w:sz w:val="29"/>
          <w:szCs w:val="29"/>
          <w:color w:val="auto"/>
        </w:rPr>
        <w:t>授权文件</w:t>
      </w:r>
    </w:p>
    <w:p>
      <w:pPr>
        <w:spacing w:after="0" w:line="356" w:lineRule="exact"/>
        <w:rPr>
          <w:sz w:val="24"/>
          <w:szCs w:val="24"/>
          <w:color w:val="auto"/>
        </w:rPr>
      </w:pPr>
    </w:p>
    <w:p>
      <w:pPr>
        <w:ind w:left="1120" w:hanging="468"/>
        <w:spacing w:after="0" w:line="352" w:lineRule="exact"/>
        <w:tabs>
          <w:tab w:leader="none" w:pos="1120" w:val="left"/>
        </w:tabs>
        <w:numPr>
          <w:ilvl w:val="0"/>
          <w:numId w:val="3"/>
        </w:numPr>
        <w:rPr>
          <w:rFonts w:ascii="Arial" w:cs="Arial" w:eastAsia="Arial" w:hAnsi="Arial"/>
          <w:sz w:val="29"/>
          <w:szCs w:val="29"/>
          <w:color w:val="auto"/>
        </w:rPr>
      </w:pPr>
      <w:r>
        <w:rPr>
          <w:rFonts w:ascii="宋体" w:cs="宋体" w:eastAsia="宋体" w:hAnsi="宋体"/>
          <w:sz w:val="29"/>
          <w:szCs w:val="29"/>
          <w:color w:val="auto"/>
        </w:rPr>
        <w:t>项目授权</w:t>
      </w:r>
    </w:p>
    <w:p>
      <w:pPr>
        <w:spacing w:after="0" w:line="115" w:lineRule="exact"/>
        <w:rPr>
          <w:sz w:val="24"/>
          <w:szCs w:val="24"/>
          <w:color w:val="auto"/>
        </w:rPr>
      </w:pPr>
    </w:p>
    <w:p>
      <w:pPr>
        <w:jc w:val="center"/>
        <w:ind w:left="100"/>
        <w:spacing w:after="0" w:line="588" w:lineRule="exact"/>
        <w:rPr>
          <w:sz w:val="20"/>
          <w:szCs w:val="20"/>
          <w:color w:val="auto"/>
        </w:rPr>
      </w:pPr>
      <w:r>
        <w:rPr>
          <w:rFonts w:ascii="Arial" w:cs="Arial" w:eastAsia="Arial" w:hAnsi="Arial"/>
          <w:sz w:val="29"/>
          <w:szCs w:val="29"/>
          <w:color w:val="auto"/>
        </w:rPr>
        <w:t>(1)</w:t>
      </w:r>
      <w:r>
        <w:rPr>
          <w:rFonts w:ascii="宋体" w:cs="宋体" w:eastAsia="宋体" w:hAnsi="宋体"/>
          <w:sz w:val="29"/>
          <w:szCs w:val="29"/>
          <w:color w:val="auto"/>
        </w:rPr>
        <w:t>授权项目采用</w:t>
      </w:r>
      <w:r>
        <w:rPr>
          <w:rFonts w:ascii="Arial" w:cs="Arial" w:eastAsia="Arial" w:hAnsi="Arial"/>
          <w:sz w:val="29"/>
          <w:szCs w:val="29"/>
          <w:color w:val="auto"/>
        </w:rPr>
        <w:t>PPP</w:t>
      </w:r>
      <w:r>
        <w:rPr>
          <w:rFonts w:ascii="宋体" w:cs="宋体" w:eastAsia="宋体" w:hAnsi="宋体"/>
          <w:sz w:val="29"/>
          <w:szCs w:val="29"/>
          <w:color w:val="auto"/>
        </w:rPr>
        <w:t>模式以及相关责权事项的授权主体</w:t>
      </w:r>
      <w:r>
        <w:rPr>
          <w:rFonts w:ascii="Arial" w:cs="Arial" w:eastAsia="Arial" w:hAnsi="Arial"/>
          <w:sz w:val="29"/>
          <w:szCs w:val="29"/>
          <w:color w:val="auto"/>
        </w:rPr>
        <w:t>,</w:t>
      </w:r>
      <w:r>
        <w:rPr>
          <w:rFonts w:ascii="宋体" w:cs="宋体" w:eastAsia="宋体" w:hAnsi="宋体"/>
          <w:sz w:val="29"/>
          <w:szCs w:val="29"/>
          <w:color w:val="auto"/>
        </w:rPr>
        <w:t>必须为承担项目财政支出责任的县级及县级以上人民政府</w:t>
      </w:r>
      <w:r>
        <w:rPr>
          <w:rFonts w:ascii="Arial" w:cs="Arial" w:eastAsia="Arial" w:hAnsi="Arial"/>
          <w:sz w:val="29"/>
          <w:szCs w:val="29"/>
          <w:color w:val="auto"/>
        </w:rPr>
        <w:t>; (2)</w:t>
      </w:r>
      <w:r>
        <w:rPr>
          <w:rFonts w:ascii="宋体" w:cs="宋体" w:eastAsia="宋体" w:hAnsi="宋体"/>
          <w:sz w:val="29"/>
          <w:szCs w:val="29"/>
          <w:color w:val="auto"/>
        </w:rPr>
        <w:t>属于跨行政级别或跨行政区域实施、且由不同项目政府</w:t>
      </w:r>
    </w:p>
    <w:p>
      <w:pPr>
        <w:ind w:left="100" w:right="160"/>
        <w:spacing w:after="0" w:line="612" w:lineRule="exact"/>
        <w:rPr>
          <w:sz w:val="20"/>
          <w:szCs w:val="20"/>
          <w:color w:val="auto"/>
        </w:rPr>
      </w:pPr>
      <w:r>
        <w:rPr>
          <w:rFonts w:ascii="宋体" w:cs="宋体" w:eastAsia="宋体" w:hAnsi="宋体"/>
          <w:sz w:val="29"/>
          <w:szCs w:val="29"/>
          <w:color w:val="auto"/>
        </w:rPr>
        <w:t>分别承担相应支出责任的</w:t>
      </w:r>
      <w:r>
        <w:rPr>
          <w:rFonts w:ascii="Arial" w:cs="Arial" w:eastAsia="Arial" w:hAnsi="Arial"/>
          <w:sz w:val="29"/>
          <w:szCs w:val="29"/>
          <w:color w:val="auto"/>
        </w:rPr>
        <w:t>PPP</w:t>
      </w:r>
      <w:r>
        <w:rPr>
          <w:rFonts w:ascii="宋体" w:cs="宋体" w:eastAsia="宋体" w:hAnsi="宋体"/>
          <w:sz w:val="29"/>
          <w:szCs w:val="29"/>
          <w:color w:val="auto"/>
        </w:rPr>
        <w:t>项目</w:t>
      </w:r>
      <w:r>
        <w:rPr>
          <w:rFonts w:ascii="Arial" w:cs="Arial" w:eastAsia="Arial" w:hAnsi="Arial"/>
          <w:sz w:val="29"/>
          <w:szCs w:val="29"/>
          <w:color w:val="auto"/>
        </w:rPr>
        <w:t>,</w:t>
      </w:r>
      <w:r>
        <w:rPr>
          <w:rFonts w:ascii="宋体" w:cs="宋体" w:eastAsia="宋体" w:hAnsi="宋体"/>
          <w:sz w:val="29"/>
          <w:szCs w:val="29"/>
          <w:color w:val="auto"/>
        </w:rPr>
        <w:t>应由涉及的项目政府共同授权或分别授权。</w:t>
      </w:r>
    </w:p>
    <w:p>
      <w:pPr>
        <w:spacing w:after="0" w:line="73" w:lineRule="exact"/>
        <w:rPr>
          <w:sz w:val="24"/>
          <w:szCs w:val="24"/>
          <w:color w:val="auto"/>
        </w:rPr>
      </w:pPr>
    </w:p>
    <w:p>
      <w:pPr>
        <w:ind w:left="1120" w:hanging="468"/>
        <w:spacing w:after="0" w:line="352" w:lineRule="exact"/>
        <w:tabs>
          <w:tab w:leader="none" w:pos="1120" w:val="left"/>
        </w:tabs>
        <w:numPr>
          <w:ilvl w:val="0"/>
          <w:numId w:val="4"/>
        </w:numPr>
        <w:rPr>
          <w:rFonts w:ascii="Arial" w:cs="Arial" w:eastAsia="Arial" w:hAnsi="Arial"/>
          <w:sz w:val="29"/>
          <w:szCs w:val="29"/>
          <w:color w:val="auto"/>
        </w:rPr>
      </w:pPr>
      <w:r>
        <w:rPr>
          <w:rFonts w:ascii="宋体" w:cs="宋体" w:eastAsia="宋体" w:hAnsi="宋体"/>
          <w:sz w:val="29"/>
          <w:szCs w:val="29"/>
          <w:color w:val="auto"/>
        </w:rPr>
        <w:t>被授权主体</w:t>
      </w:r>
    </w:p>
    <w:p>
      <w:pPr>
        <w:spacing w:after="0" w:line="115" w:lineRule="exact"/>
        <w:rPr>
          <w:sz w:val="24"/>
          <w:szCs w:val="24"/>
          <w:color w:val="auto"/>
        </w:rPr>
      </w:pPr>
    </w:p>
    <w:p>
      <w:pPr>
        <w:jc w:val="both"/>
        <w:ind w:left="100" w:right="160" w:firstLine="629"/>
        <w:spacing w:after="0" w:line="834" w:lineRule="exact"/>
        <w:rPr>
          <w:sz w:val="20"/>
          <w:szCs w:val="20"/>
          <w:color w:val="auto"/>
        </w:rPr>
      </w:pPr>
      <w:r>
        <w:rPr>
          <w:rFonts w:ascii="宋体" w:cs="宋体" w:eastAsia="宋体" w:hAnsi="宋体"/>
          <w:sz w:val="29"/>
          <w:szCs w:val="29"/>
          <w:color w:val="auto"/>
        </w:rPr>
        <w:t>被授权的项目实施机构</w:t>
      </w:r>
      <w:r>
        <w:rPr>
          <w:rFonts w:ascii="Arial" w:cs="Arial" w:eastAsia="Arial" w:hAnsi="Arial"/>
          <w:sz w:val="29"/>
          <w:szCs w:val="29"/>
          <w:color w:val="auto"/>
        </w:rPr>
        <w:t>,</w:t>
      </w:r>
      <w:r>
        <w:rPr>
          <w:rFonts w:ascii="宋体" w:cs="宋体" w:eastAsia="宋体" w:hAnsi="宋体"/>
          <w:sz w:val="29"/>
          <w:szCs w:val="29"/>
          <w:color w:val="auto"/>
        </w:rPr>
        <w:t>只能是政府、政府部门或事业单位</w:t>
      </w:r>
      <w:r>
        <w:rPr>
          <w:rFonts w:ascii="Arial" w:cs="Arial" w:eastAsia="Arial" w:hAnsi="Arial"/>
          <w:sz w:val="29"/>
          <w:szCs w:val="29"/>
          <w:color w:val="auto"/>
        </w:rPr>
        <w:t>;</w:t>
      </w:r>
      <w:r>
        <w:rPr>
          <w:rFonts w:ascii="宋体" w:cs="宋体" w:eastAsia="宋体" w:hAnsi="宋体"/>
          <w:sz w:val="29"/>
          <w:szCs w:val="29"/>
          <w:color w:val="auto"/>
        </w:rPr>
        <w:t>不得指定同级政府融资平台公司或国有控股企业作为项目实施机构。</w:t>
      </w:r>
    </w:p>
    <w:p>
      <w:pPr>
        <w:sectPr>
          <w:pgSz w:w="11900" w:h="16838" w:orient="portrait"/>
          <w:cols w:equalWidth="0" w:num="1">
            <w:col w:w="9080"/>
          </w:cols>
          <w:pgMar w:left="1440" w:top="1440" w:right="1386" w:bottom="1037" w:gutter="0" w:footer="0" w:header="0"/>
        </w:sectPr>
      </w:pPr>
    </w:p>
    <w:p>
      <w:pPr>
        <w:spacing w:after="0" w:line="112" w:lineRule="exact"/>
        <w:rPr>
          <w:sz w:val="24"/>
          <w:szCs w:val="24"/>
          <w:color w:val="auto"/>
        </w:rPr>
      </w:pPr>
    </w:p>
    <w:p>
      <w:pPr>
        <w:ind w:left="7540"/>
        <w:spacing w:after="0"/>
        <w:rPr>
          <w:sz w:val="20"/>
          <w:szCs w:val="20"/>
          <w:color w:val="auto"/>
        </w:rPr>
      </w:pPr>
      <w:r>
        <w:rPr>
          <w:rFonts w:ascii="Arial" w:cs="Arial" w:eastAsia="Arial" w:hAnsi="Arial"/>
          <w:sz w:val="26"/>
          <w:szCs w:val="26"/>
          <w:color w:val="auto"/>
        </w:rPr>
        <w:t>— 1 —</w:t>
      </w:r>
    </w:p>
    <w:p>
      <w:pPr>
        <w:sectPr>
          <w:pgSz w:w="11900" w:h="16838" w:orient="portrait"/>
          <w:cols w:equalWidth="0" w:num="1">
            <w:col w:w="9080"/>
          </w:cols>
          <w:pgMar w:left="1440" w:top="1440" w:right="1386" w:bottom="1037" w:gutter="0" w:footer="0" w:header="0"/>
          <w:type w:val="continuous"/>
        </w:sectPr>
      </w:pPr>
    </w:p>
    <w:bookmarkStart w:id="1" w:name="page2"/>
    <w:bookmarkEnd w:id="1"/>
    <w:p>
      <w:pPr>
        <w:spacing w:after="0" w:line="200" w:lineRule="exact"/>
        <w:rPr>
          <w:sz w:val="20"/>
          <w:szCs w:val="20"/>
          <w:color w:val="auto"/>
        </w:rPr>
      </w:pPr>
    </w:p>
    <w:p>
      <w:pPr>
        <w:spacing w:after="0" w:line="254" w:lineRule="exact"/>
        <w:rPr>
          <w:sz w:val="20"/>
          <w:szCs w:val="20"/>
          <w:color w:val="auto"/>
        </w:rPr>
      </w:pPr>
    </w:p>
    <w:p>
      <w:pPr>
        <w:ind w:left="1120" w:hanging="468"/>
        <w:spacing w:after="0" w:line="352" w:lineRule="exact"/>
        <w:tabs>
          <w:tab w:leader="none" w:pos="1120" w:val="left"/>
        </w:tabs>
        <w:numPr>
          <w:ilvl w:val="0"/>
          <w:numId w:val="5"/>
        </w:numPr>
        <w:rPr>
          <w:rFonts w:ascii="Arial" w:cs="Arial" w:eastAsia="Arial" w:hAnsi="Arial"/>
          <w:sz w:val="29"/>
          <w:szCs w:val="29"/>
          <w:color w:val="auto"/>
        </w:rPr>
      </w:pPr>
      <w:r>
        <w:rPr>
          <w:rFonts w:ascii="宋体" w:cs="宋体" w:eastAsia="宋体" w:hAnsi="宋体"/>
          <w:sz w:val="29"/>
          <w:szCs w:val="29"/>
          <w:color w:val="auto"/>
        </w:rPr>
        <w:t>政府方出资代表原则上不得是混合所有制企业。</w:t>
      </w:r>
    </w:p>
    <w:p>
      <w:pPr>
        <w:spacing w:after="0" w:line="383" w:lineRule="exact"/>
        <w:rPr>
          <w:rFonts w:ascii="Arial" w:cs="Arial" w:eastAsia="Arial" w:hAnsi="Arial"/>
          <w:sz w:val="29"/>
          <w:szCs w:val="29"/>
          <w:color w:val="auto"/>
        </w:rPr>
      </w:pPr>
    </w:p>
    <w:p>
      <w:pPr>
        <w:ind w:left="1120" w:hanging="468"/>
        <w:spacing w:after="0" w:line="352" w:lineRule="exact"/>
        <w:tabs>
          <w:tab w:leader="none" w:pos="1120" w:val="left"/>
        </w:tabs>
        <w:numPr>
          <w:ilvl w:val="0"/>
          <w:numId w:val="5"/>
        </w:numPr>
        <w:rPr>
          <w:rFonts w:ascii="Arial" w:cs="Arial" w:eastAsia="Arial" w:hAnsi="Arial"/>
          <w:sz w:val="29"/>
          <w:szCs w:val="29"/>
          <w:color w:val="auto"/>
        </w:rPr>
      </w:pPr>
      <w:r>
        <w:rPr>
          <w:rFonts w:ascii="宋体" w:cs="宋体" w:eastAsia="宋体" w:hAnsi="宋体"/>
          <w:sz w:val="29"/>
          <w:szCs w:val="29"/>
          <w:color w:val="auto"/>
        </w:rPr>
        <w:t>实施机构与政府方出资代表原则上不得为同一单位。</w:t>
      </w:r>
    </w:p>
    <w:p>
      <w:pPr>
        <w:spacing w:after="0" w:line="240" w:lineRule="exact"/>
        <w:rPr>
          <w:rFonts w:ascii="Arial" w:cs="Arial" w:eastAsia="Arial" w:hAnsi="Arial"/>
          <w:sz w:val="29"/>
          <w:szCs w:val="29"/>
          <w:color w:val="auto"/>
        </w:rPr>
      </w:pPr>
    </w:p>
    <w:p>
      <w:pPr>
        <w:ind w:left="1120" w:hanging="468"/>
        <w:spacing w:after="0" w:line="352" w:lineRule="exact"/>
        <w:tabs>
          <w:tab w:leader="none" w:pos="1120" w:val="left"/>
        </w:tabs>
        <w:numPr>
          <w:ilvl w:val="0"/>
          <w:numId w:val="5"/>
        </w:numPr>
        <w:rPr>
          <w:rFonts w:ascii="Arial" w:cs="Arial" w:eastAsia="Arial" w:hAnsi="Arial"/>
          <w:sz w:val="29"/>
          <w:szCs w:val="29"/>
          <w:color w:val="auto"/>
        </w:rPr>
      </w:pPr>
      <w:r>
        <w:rPr>
          <w:rFonts w:ascii="宋体" w:cs="宋体" w:eastAsia="宋体" w:hAnsi="宋体"/>
          <w:sz w:val="29"/>
          <w:szCs w:val="29"/>
          <w:color w:val="auto"/>
        </w:rPr>
        <w:t>政府不得直接指定社会资本。</w:t>
      </w:r>
    </w:p>
    <w:p>
      <w:pPr>
        <w:spacing w:after="0" w:line="98" w:lineRule="exact"/>
        <w:rPr>
          <w:sz w:val="20"/>
          <w:szCs w:val="20"/>
          <w:color w:val="auto"/>
        </w:rPr>
      </w:pPr>
    </w:p>
    <w:p>
      <w:pPr>
        <w:ind w:left="720"/>
        <w:spacing w:after="0" w:line="352" w:lineRule="exact"/>
        <w:rPr>
          <w:sz w:val="20"/>
          <w:szCs w:val="20"/>
          <w:color w:val="auto"/>
        </w:rPr>
      </w:pPr>
      <w:r>
        <w:rPr>
          <w:rFonts w:ascii="Arial" w:cs="Arial" w:eastAsia="Arial" w:hAnsi="Arial"/>
          <w:sz w:val="29"/>
          <w:szCs w:val="29"/>
          <w:color w:val="auto"/>
        </w:rPr>
        <w:t>(</w:t>
      </w:r>
      <w:r>
        <w:rPr>
          <w:rFonts w:ascii="宋体" w:cs="宋体" w:eastAsia="宋体" w:hAnsi="宋体"/>
          <w:sz w:val="29"/>
          <w:szCs w:val="29"/>
          <w:color w:val="auto"/>
        </w:rPr>
        <w:t>三</w:t>
      </w:r>
      <w:r>
        <w:rPr>
          <w:rFonts w:ascii="Arial" w:cs="Arial" w:eastAsia="Arial" w:hAnsi="Arial"/>
          <w:sz w:val="29"/>
          <w:szCs w:val="29"/>
          <w:color w:val="auto"/>
        </w:rPr>
        <w:t>)</w:t>
      </w:r>
      <w:r>
        <w:rPr>
          <w:rFonts w:ascii="宋体" w:cs="宋体" w:eastAsia="宋体" w:hAnsi="宋体"/>
          <w:sz w:val="29"/>
          <w:szCs w:val="29"/>
          <w:color w:val="auto"/>
        </w:rPr>
        <w:t>存量项目</w:t>
      </w:r>
    </w:p>
    <w:p>
      <w:pPr>
        <w:spacing w:after="0" w:line="240" w:lineRule="exact"/>
        <w:rPr>
          <w:sz w:val="20"/>
          <w:szCs w:val="20"/>
          <w:color w:val="auto"/>
        </w:rPr>
      </w:pPr>
    </w:p>
    <w:p>
      <w:pPr>
        <w:jc w:val="both"/>
        <w:ind w:left="100" w:right="106" w:firstLine="629"/>
        <w:spacing w:after="0" w:line="592" w:lineRule="exact"/>
        <w:rPr>
          <w:sz w:val="20"/>
          <w:szCs w:val="20"/>
          <w:color w:val="auto"/>
        </w:rPr>
      </w:pPr>
      <w:r>
        <w:rPr>
          <w:rFonts w:ascii="宋体" w:cs="宋体" w:eastAsia="宋体" w:hAnsi="宋体"/>
          <w:sz w:val="29"/>
          <w:szCs w:val="29"/>
          <w:color w:val="auto"/>
        </w:rPr>
        <w:t>涉及国有资产权属转移的存量项目或存量内容</w:t>
      </w:r>
      <w:r>
        <w:rPr>
          <w:rFonts w:ascii="Arial" w:cs="Arial" w:eastAsia="Arial" w:hAnsi="Arial"/>
          <w:sz w:val="29"/>
          <w:szCs w:val="29"/>
          <w:color w:val="auto"/>
        </w:rPr>
        <w:t>,</w:t>
      </w:r>
      <w:r>
        <w:rPr>
          <w:rFonts w:ascii="宋体" w:cs="宋体" w:eastAsia="宋体" w:hAnsi="宋体"/>
          <w:sz w:val="29"/>
          <w:szCs w:val="29"/>
          <w:color w:val="auto"/>
        </w:rPr>
        <w:t>未按规定履行相关国有资产审批、评估手续</w:t>
      </w:r>
      <w:r>
        <w:rPr>
          <w:rFonts w:ascii="Arial" w:cs="Arial" w:eastAsia="Arial" w:hAnsi="Arial"/>
          <w:sz w:val="29"/>
          <w:szCs w:val="29"/>
          <w:color w:val="auto"/>
        </w:rPr>
        <w:t>,</w:t>
      </w:r>
      <w:r>
        <w:rPr>
          <w:rFonts w:ascii="宋体" w:cs="宋体" w:eastAsia="宋体" w:hAnsi="宋体"/>
          <w:sz w:val="29"/>
          <w:szCs w:val="29"/>
          <w:color w:val="auto"/>
        </w:rPr>
        <w:t>无存量资产评估报告及备案手续或相关手续已超出有效期。</w:t>
      </w:r>
    </w:p>
    <w:p>
      <w:pPr>
        <w:spacing w:after="0" w:line="3" w:lineRule="exact"/>
        <w:rPr>
          <w:sz w:val="20"/>
          <w:szCs w:val="20"/>
          <w:color w:val="auto"/>
        </w:rPr>
      </w:pPr>
    </w:p>
    <w:p>
      <w:pPr>
        <w:ind w:left="720"/>
        <w:spacing w:after="0" w:line="352" w:lineRule="exact"/>
        <w:rPr>
          <w:sz w:val="20"/>
          <w:szCs w:val="20"/>
          <w:color w:val="auto"/>
        </w:rPr>
      </w:pPr>
      <w:r>
        <w:rPr>
          <w:rFonts w:ascii="Arial" w:cs="Arial" w:eastAsia="Arial" w:hAnsi="Arial"/>
          <w:sz w:val="29"/>
          <w:szCs w:val="29"/>
          <w:color w:val="auto"/>
        </w:rPr>
        <w:t>(</w:t>
      </w:r>
      <w:r>
        <w:rPr>
          <w:rFonts w:ascii="宋体" w:cs="宋体" w:eastAsia="宋体" w:hAnsi="宋体"/>
          <w:sz w:val="29"/>
          <w:szCs w:val="29"/>
          <w:color w:val="auto"/>
        </w:rPr>
        <w:t>四</w:t>
      </w:r>
      <w:r>
        <w:rPr>
          <w:rFonts w:ascii="Arial" w:cs="Arial" w:eastAsia="Arial" w:hAnsi="Arial"/>
          <w:sz w:val="29"/>
          <w:szCs w:val="29"/>
          <w:color w:val="auto"/>
        </w:rPr>
        <w:t>)</w:t>
      </w:r>
      <w:r>
        <w:rPr>
          <w:rFonts w:ascii="宋体" w:cs="宋体" w:eastAsia="宋体" w:hAnsi="宋体"/>
          <w:sz w:val="29"/>
          <w:szCs w:val="29"/>
          <w:color w:val="auto"/>
        </w:rPr>
        <w:t>项目实施方案</w:t>
      </w:r>
    </w:p>
    <w:p>
      <w:pPr>
        <w:spacing w:after="0" w:line="383" w:lineRule="exact"/>
        <w:rPr>
          <w:sz w:val="20"/>
          <w:szCs w:val="20"/>
          <w:color w:val="auto"/>
        </w:rPr>
      </w:pPr>
    </w:p>
    <w:p>
      <w:pPr>
        <w:jc w:val="both"/>
        <w:ind w:left="100" w:right="106" w:firstLine="629"/>
        <w:spacing w:after="0" w:line="545" w:lineRule="exact"/>
        <w:rPr>
          <w:sz w:val="20"/>
          <w:szCs w:val="20"/>
          <w:color w:val="auto"/>
        </w:rPr>
      </w:pPr>
      <w:r>
        <w:rPr>
          <w:rFonts w:ascii="宋体" w:cs="宋体" w:eastAsia="宋体" w:hAnsi="宋体"/>
          <w:sz w:val="29"/>
          <w:szCs w:val="29"/>
          <w:color w:val="auto"/>
        </w:rPr>
        <w:t>申请调入管理库项目的实施方案应为拟向当地政府报批或已经政府批准的正式实施方案</w:t>
      </w:r>
      <w:r>
        <w:rPr>
          <w:rFonts w:ascii="Arial" w:cs="Arial" w:eastAsia="Arial" w:hAnsi="Arial"/>
          <w:sz w:val="29"/>
          <w:szCs w:val="29"/>
          <w:color w:val="auto"/>
        </w:rPr>
        <w:t>,</w:t>
      </w:r>
      <w:r>
        <w:rPr>
          <w:rFonts w:ascii="宋体" w:cs="宋体" w:eastAsia="宋体" w:hAnsi="宋体"/>
          <w:sz w:val="29"/>
          <w:szCs w:val="29"/>
          <w:color w:val="auto"/>
        </w:rPr>
        <w:t>至少应包括项目基本情况、运作方式、风险分配框架、交易结构、合同体系、监管架构、采购方</w:t>
      </w:r>
    </w:p>
    <w:p>
      <w:pPr>
        <w:spacing w:after="0" w:line="3" w:lineRule="exact"/>
        <w:rPr>
          <w:sz w:val="20"/>
          <w:szCs w:val="20"/>
          <w:color w:val="auto"/>
        </w:rPr>
      </w:pPr>
    </w:p>
    <w:p>
      <w:pPr>
        <w:jc w:val="both"/>
        <w:ind w:left="100" w:right="106"/>
        <w:spacing w:after="0" w:line="616" w:lineRule="exact"/>
        <w:rPr>
          <w:sz w:val="20"/>
          <w:szCs w:val="20"/>
          <w:color w:val="auto"/>
        </w:rPr>
      </w:pPr>
      <w:r>
        <w:rPr>
          <w:rFonts w:ascii="宋体" w:cs="宋体" w:eastAsia="宋体" w:hAnsi="宋体"/>
          <w:sz w:val="29"/>
          <w:szCs w:val="29"/>
          <w:color w:val="auto"/>
        </w:rPr>
        <w:t>式、绩效评价、提前终止约定等内容。内容不合规的事项主要有</w:t>
      </w:r>
      <w:r>
        <w:rPr>
          <w:rFonts w:ascii="Arial" w:cs="Arial" w:eastAsia="Arial" w:hAnsi="Arial"/>
          <w:sz w:val="29"/>
          <w:szCs w:val="29"/>
          <w:color w:val="auto"/>
        </w:rPr>
        <w:t>:</w:t>
      </w:r>
    </w:p>
    <w:p>
      <w:pPr>
        <w:spacing w:after="0" w:line="200" w:lineRule="exact"/>
        <w:rPr>
          <w:sz w:val="20"/>
          <w:szCs w:val="20"/>
          <w:color w:val="auto"/>
        </w:rPr>
      </w:pPr>
    </w:p>
    <w:p>
      <w:pPr>
        <w:spacing w:after="0" w:line="200" w:lineRule="exact"/>
        <w:rPr>
          <w:sz w:val="20"/>
          <w:szCs w:val="20"/>
          <w:color w:val="auto"/>
        </w:rPr>
      </w:pPr>
    </w:p>
    <w:p>
      <w:pPr>
        <w:spacing w:after="0" w:line="290" w:lineRule="exact"/>
        <w:rPr>
          <w:sz w:val="20"/>
          <w:szCs w:val="20"/>
          <w:color w:val="auto"/>
        </w:rPr>
      </w:pPr>
    </w:p>
    <w:p>
      <w:pPr>
        <w:ind w:left="1120" w:hanging="468"/>
        <w:spacing w:after="0" w:line="352" w:lineRule="exact"/>
        <w:tabs>
          <w:tab w:leader="none" w:pos="1120" w:val="left"/>
        </w:tabs>
        <w:numPr>
          <w:ilvl w:val="0"/>
          <w:numId w:val="6"/>
        </w:numPr>
        <w:rPr>
          <w:rFonts w:ascii="Arial" w:cs="Arial" w:eastAsia="Arial" w:hAnsi="Arial"/>
          <w:sz w:val="29"/>
          <w:szCs w:val="29"/>
          <w:color w:val="auto"/>
        </w:rPr>
      </w:pPr>
      <w:r>
        <w:rPr>
          <w:rFonts w:ascii="宋体" w:cs="宋体" w:eastAsia="宋体" w:hAnsi="宋体"/>
          <w:sz w:val="29"/>
          <w:szCs w:val="29"/>
          <w:color w:val="auto"/>
        </w:rPr>
        <w:t>合作范围不符合规范要求</w:t>
      </w:r>
    </w:p>
    <w:p>
      <w:pPr>
        <w:spacing w:after="0" w:line="121" w:lineRule="exact"/>
        <w:rPr>
          <w:sz w:val="20"/>
          <w:szCs w:val="20"/>
          <w:color w:val="auto"/>
        </w:rPr>
      </w:pPr>
    </w:p>
    <w:p>
      <w:pPr>
        <w:ind w:left="100" w:right="106" w:firstLine="625"/>
        <w:spacing w:after="0" w:line="592" w:lineRule="exact"/>
        <w:rPr>
          <w:sz w:val="20"/>
          <w:szCs w:val="20"/>
          <w:color w:val="auto"/>
        </w:rPr>
      </w:pPr>
      <w:r>
        <w:rPr>
          <w:rFonts w:ascii="Arial" w:cs="Arial" w:eastAsia="Arial" w:hAnsi="Arial"/>
          <w:sz w:val="29"/>
          <w:szCs w:val="29"/>
          <w:color w:val="auto"/>
        </w:rPr>
        <w:t>(1)</w:t>
      </w:r>
      <w:r>
        <w:rPr>
          <w:rFonts w:ascii="宋体" w:cs="宋体" w:eastAsia="宋体" w:hAnsi="宋体"/>
          <w:sz w:val="29"/>
          <w:szCs w:val="29"/>
          <w:color w:val="auto"/>
        </w:rPr>
        <w:t>不属于公共服务领域或公益性项目</w:t>
      </w:r>
      <w:r>
        <w:rPr>
          <w:rFonts w:ascii="Arial" w:cs="Arial" w:eastAsia="Arial" w:hAnsi="Arial"/>
          <w:sz w:val="29"/>
          <w:szCs w:val="29"/>
          <w:color w:val="auto"/>
        </w:rPr>
        <w:t>,</w:t>
      </w:r>
      <w:r>
        <w:rPr>
          <w:rFonts w:ascii="宋体" w:cs="宋体" w:eastAsia="宋体" w:hAnsi="宋体"/>
          <w:sz w:val="29"/>
          <w:szCs w:val="29"/>
          <w:color w:val="auto"/>
        </w:rPr>
        <w:t>政府不负有提供义务的</w:t>
      </w:r>
      <w:r>
        <w:rPr>
          <w:rFonts w:ascii="Arial" w:cs="Arial" w:eastAsia="Arial" w:hAnsi="Arial"/>
          <w:sz w:val="29"/>
          <w:szCs w:val="29"/>
          <w:color w:val="auto"/>
        </w:rPr>
        <w:t>,</w:t>
      </w:r>
      <w:r>
        <w:rPr>
          <w:rFonts w:ascii="宋体" w:cs="宋体" w:eastAsia="宋体" w:hAnsi="宋体"/>
          <w:sz w:val="29"/>
          <w:szCs w:val="29"/>
          <w:color w:val="auto"/>
        </w:rPr>
        <w:t>如商业地产开发、招商引资项目等</w:t>
      </w:r>
      <w:r>
        <w:rPr>
          <w:rFonts w:ascii="Arial" w:cs="Arial" w:eastAsia="Arial" w:hAnsi="Arial"/>
          <w:sz w:val="29"/>
          <w:szCs w:val="29"/>
          <w:color w:val="auto"/>
        </w:rPr>
        <w:t>;</w:t>
      </w:r>
    </w:p>
    <w:p>
      <w:pPr>
        <w:spacing w:after="0" w:line="1" w:lineRule="exact"/>
        <w:rPr>
          <w:sz w:val="20"/>
          <w:szCs w:val="20"/>
          <w:color w:val="auto"/>
        </w:rPr>
      </w:pPr>
    </w:p>
    <w:p>
      <w:pPr>
        <w:ind w:left="100" w:right="106" w:firstLine="625"/>
        <w:spacing w:after="0" w:line="592" w:lineRule="exact"/>
        <w:rPr>
          <w:sz w:val="20"/>
          <w:szCs w:val="20"/>
          <w:color w:val="auto"/>
        </w:rPr>
      </w:pPr>
      <w:r>
        <w:rPr>
          <w:rFonts w:ascii="Arial" w:cs="Arial" w:eastAsia="Arial" w:hAnsi="Arial"/>
          <w:sz w:val="29"/>
          <w:szCs w:val="29"/>
          <w:color w:val="auto"/>
        </w:rPr>
        <w:t>(2)</w:t>
      </w:r>
      <w:r>
        <w:rPr>
          <w:rFonts w:ascii="宋体" w:cs="宋体" w:eastAsia="宋体" w:hAnsi="宋体"/>
          <w:sz w:val="29"/>
          <w:szCs w:val="29"/>
          <w:color w:val="auto"/>
        </w:rPr>
        <w:t>涉及国家安全或重大公共利益等</w:t>
      </w:r>
      <w:r>
        <w:rPr>
          <w:rFonts w:ascii="Arial" w:cs="Arial" w:eastAsia="Arial" w:hAnsi="Arial"/>
          <w:sz w:val="29"/>
          <w:szCs w:val="29"/>
          <w:color w:val="auto"/>
        </w:rPr>
        <w:t>,</w:t>
      </w:r>
      <w:r>
        <w:rPr>
          <w:rFonts w:ascii="宋体" w:cs="宋体" w:eastAsia="宋体" w:hAnsi="宋体"/>
          <w:sz w:val="29"/>
          <w:szCs w:val="29"/>
          <w:color w:val="auto"/>
        </w:rPr>
        <w:t>不适宜由社会资本承担的</w:t>
      </w:r>
      <w:r>
        <w:rPr>
          <w:rFonts w:ascii="Arial" w:cs="Arial" w:eastAsia="Arial" w:hAnsi="Arial"/>
          <w:sz w:val="29"/>
          <w:szCs w:val="29"/>
          <w:color w:val="auto"/>
        </w:rPr>
        <w:t>;</w:t>
      </w:r>
    </w:p>
    <w:p>
      <w:pPr>
        <w:spacing w:after="0" w:line="200" w:lineRule="exact"/>
        <w:rPr>
          <w:sz w:val="20"/>
          <w:szCs w:val="20"/>
          <w:color w:val="auto"/>
        </w:rPr>
      </w:pPr>
    </w:p>
    <w:p>
      <w:pPr>
        <w:spacing w:after="0" w:line="394" w:lineRule="exact"/>
        <w:rPr>
          <w:sz w:val="20"/>
          <w:szCs w:val="20"/>
          <w:color w:val="auto"/>
        </w:rPr>
      </w:pPr>
    </w:p>
    <w:p>
      <w:pPr>
        <w:ind w:left="720"/>
        <w:spacing w:after="0" w:line="352" w:lineRule="exact"/>
        <w:rPr>
          <w:sz w:val="20"/>
          <w:szCs w:val="20"/>
          <w:color w:val="auto"/>
        </w:rPr>
      </w:pPr>
      <w:r>
        <w:rPr>
          <w:rFonts w:ascii="Arial" w:cs="Arial" w:eastAsia="Arial" w:hAnsi="Arial"/>
          <w:sz w:val="29"/>
          <w:szCs w:val="29"/>
          <w:color w:val="auto"/>
        </w:rPr>
        <w:t>(3)</w:t>
      </w:r>
      <w:r>
        <w:rPr>
          <w:rFonts w:ascii="宋体" w:cs="宋体" w:eastAsia="宋体" w:hAnsi="宋体"/>
          <w:sz w:val="29"/>
          <w:szCs w:val="29"/>
          <w:color w:val="auto"/>
        </w:rPr>
        <w:t>仅涉及工程建设</w:t>
      </w:r>
      <w:r>
        <w:rPr>
          <w:rFonts w:ascii="Arial" w:cs="Arial" w:eastAsia="Arial" w:hAnsi="Arial"/>
          <w:sz w:val="29"/>
          <w:szCs w:val="29"/>
          <w:color w:val="auto"/>
        </w:rPr>
        <w:t>,</w:t>
      </w:r>
      <w:r>
        <w:rPr>
          <w:rFonts w:ascii="宋体" w:cs="宋体" w:eastAsia="宋体" w:hAnsi="宋体"/>
          <w:sz w:val="29"/>
          <w:szCs w:val="29"/>
          <w:color w:val="auto"/>
        </w:rPr>
        <w:t>无运营内容或将运营内容、运营责任</w:t>
      </w:r>
    </w:p>
    <w:p>
      <w:pPr>
        <w:spacing w:after="0" w:line="383" w:lineRule="exact"/>
        <w:rPr>
          <w:sz w:val="20"/>
          <w:szCs w:val="20"/>
          <w:color w:val="auto"/>
        </w:rPr>
      </w:pPr>
    </w:p>
    <w:p>
      <w:pPr>
        <w:jc w:val="center"/>
        <w:ind w:left="100" w:right="106"/>
        <w:spacing w:after="0" w:line="548" w:lineRule="exact"/>
        <w:rPr>
          <w:sz w:val="20"/>
          <w:szCs w:val="20"/>
          <w:color w:val="auto"/>
        </w:rPr>
      </w:pPr>
      <w:r>
        <w:rPr>
          <w:rFonts w:ascii="宋体" w:cs="宋体" w:eastAsia="宋体" w:hAnsi="宋体"/>
          <w:sz w:val="29"/>
          <w:szCs w:val="29"/>
          <w:color w:val="auto"/>
        </w:rPr>
        <w:t>返包给政府方或政府方出资代表承担或另行指定社会资本方以外的第三方承担</w:t>
      </w:r>
      <w:r>
        <w:rPr>
          <w:rFonts w:ascii="Arial" w:cs="Arial" w:eastAsia="Arial" w:hAnsi="Arial"/>
          <w:sz w:val="29"/>
          <w:szCs w:val="29"/>
          <w:color w:val="auto"/>
        </w:rPr>
        <w:t>,</w:t>
      </w:r>
      <w:r>
        <w:rPr>
          <w:rFonts w:ascii="宋体" w:cs="宋体" w:eastAsia="宋体" w:hAnsi="宋体"/>
          <w:sz w:val="29"/>
          <w:szCs w:val="29"/>
          <w:color w:val="auto"/>
        </w:rPr>
        <w:t>弱化或免除社会资本的投资建设运营责任的</w:t>
      </w:r>
      <w:r>
        <w:rPr>
          <w:rFonts w:ascii="Arial" w:cs="Arial" w:eastAsia="Arial" w:hAnsi="Arial"/>
          <w:sz w:val="29"/>
          <w:szCs w:val="29"/>
          <w:color w:val="auto"/>
        </w:rPr>
        <w:t>; (4)</w:t>
      </w:r>
      <w:r>
        <w:rPr>
          <w:rFonts w:ascii="宋体" w:cs="宋体" w:eastAsia="宋体" w:hAnsi="宋体"/>
          <w:sz w:val="29"/>
          <w:szCs w:val="29"/>
          <w:color w:val="auto"/>
        </w:rPr>
        <w:t>建设内容非同类型或非上下游</w:t>
      </w:r>
      <w:r>
        <w:rPr>
          <w:rFonts w:ascii="Arial" w:cs="Arial" w:eastAsia="Arial" w:hAnsi="Arial"/>
          <w:sz w:val="29"/>
          <w:szCs w:val="29"/>
          <w:color w:val="auto"/>
        </w:rPr>
        <w:t>,</w:t>
      </w:r>
      <w:r>
        <w:rPr>
          <w:rFonts w:ascii="宋体" w:cs="宋体" w:eastAsia="宋体" w:hAnsi="宋体"/>
          <w:sz w:val="29"/>
          <w:szCs w:val="29"/>
          <w:color w:val="auto"/>
        </w:rPr>
        <w:t>无实质关联或关联性不</w:t>
      </w:r>
    </w:p>
    <w:p>
      <w:pPr>
        <w:sectPr>
          <w:pgSz w:w="11900" w:h="16838" w:orient="portrait"/>
          <w:cols w:equalWidth="0" w:num="1">
            <w:col w:w="9026"/>
          </w:cols>
          <w:pgMar w:left="1440" w:top="1440" w:right="1440" w:bottom="1037" w:gutter="0" w:footer="0" w:header="0"/>
        </w:sectPr>
      </w:pPr>
    </w:p>
    <w:p>
      <w:pPr>
        <w:spacing w:after="0" w:line="4" w:lineRule="exact"/>
        <w:rPr>
          <w:sz w:val="20"/>
          <w:szCs w:val="20"/>
          <w:color w:val="auto"/>
        </w:rPr>
      </w:pPr>
    </w:p>
    <w:p>
      <w:pPr>
        <w:ind w:left="380"/>
        <w:spacing w:after="0"/>
        <w:rPr>
          <w:sz w:val="20"/>
          <w:szCs w:val="20"/>
          <w:color w:val="auto"/>
        </w:rPr>
      </w:pPr>
      <w:r>
        <w:rPr>
          <w:rFonts w:ascii="Arial" w:cs="Arial" w:eastAsia="Arial" w:hAnsi="Arial"/>
          <w:sz w:val="26"/>
          <w:szCs w:val="26"/>
          <w:color w:val="auto"/>
        </w:rPr>
        <w:t>— 2 —</w:t>
      </w:r>
    </w:p>
    <w:p>
      <w:pPr>
        <w:sectPr>
          <w:pgSz w:w="11900" w:h="16838" w:orient="portrait"/>
          <w:cols w:equalWidth="0" w:num="1">
            <w:col w:w="9026"/>
          </w:cols>
          <w:pgMar w:left="1440" w:top="1440" w:right="1440" w:bottom="1037" w:gutter="0" w:footer="0" w:header="0"/>
          <w:type w:val="continuous"/>
        </w:sectPr>
      </w:pPr>
    </w:p>
    <w:bookmarkStart w:id="2" w:name="page3"/>
    <w:bookmarkEnd w:id="2"/>
    <w:p>
      <w:pPr>
        <w:spacing w:after="0" w:line="200" w:lineRule="exact"/>
        <w:rPr>
          <w:sz w:val="20"/>
          <w:szCs w:val="20"/>
          <w:color w:val="auto"/>
        </w:rPr>
      </w:pPr>
    </w:p>
    <w:p>
      <w:pPr>
        <w:spacing w:after="0" w:line="254" w:lineRule="exact"/>
        <w:rPr>
          <w:sz w:val="20"/>
          <w:szCs w:val="20"/>
          <w:color w:val="auto"/>
        </w:rPr>
      </w:pPr>
    </w:p>
    <w:p>
      <w:pPr>
        <w:ind w:left="100"/>
        <w:spacing w:after="0" w:line="352" w:lineRule="exact"/>
        <w:rPr>
          <w:sz w:val="20"/>
          <w:szCs w:val="20"/>
          <w:color w:val="auto"/>
        </w:rPr>
      </w:pPr>
      <w:r>
        <w:rPr>
          <w:rFonts w:ascii="宋体" w:cs="宋体" w:eastAsia="宋体" w:hAnsi="宋体"/>
          <w:sz w:val="29"/>
          <w:szCs w:val="29"/>
          <w:color w:val="auto"/>
        </w:rPr>
        <w:t>强的</w:t>
      </w:r>
      <w:r>
        <w:rPr>
          <w:rFonts w:ascii="Arial" w:cs="Arial" w:eastAsia="Arial" w:hAnsi="Arial"/>
          <w:sz w:val="29"/>
          <w:szCs w:val="29"/>
          <w:color w:val="auto"/>
        </w:rPr>
        <w:t>;</w:t>
      </w:r>
    </w:p>
    <w:p>
      <w:pPr>
        <w:spacing w:after="0" w:line="240" w:lineRule="exact"/>
        <w:rPr>
          <w:sz w:val="20"/>
          <w:szCs w:val="20"/>
          <w:color w:val="auto"/>
        </w:rPr>
      </w:pPr>
    </w:p>
    <w:p>
      <w:pPr>
        <w:ind w:left="100" w:right="106" w:firstLine="629"/>
        <w:spacing w:after="0" w:line="592" w:lineRule="exact"/>
        <w:rPr>
          <w:sz w:val="20"/>
          <w:szCs w:val="20"/>
          <w:color w:val="auto"/>
        </w:rPr>
      </w:pPr>
      <w:r>
        <w:rPr>
          <w:rFonts w:ascii="宋体" w:cs="宋体" w:eastAsia="宋体" w:hAnsi="宋体"/>
          <w:sz w:val="29"/>
          <w:szCs w:val="29"/>
          <w:color w:val="auto"/>
        </w:rPr>
        <w:t>建设内容之间的实质关联判断标准</w:t>
      </w:r>
      <w:r>
        <w:rPr>
          <w:rFonts w:ascii="Arial" w:cs="Arial" w:eastAsia="Arial" w:hAnsi="Arial"/>
          <w:sz w:val="29"/>
          <w:szCs w:val="29"/>
          <w:color w:val="auto"/>
        </w:rPr>
        <w:t>,</w:t>
      </w:r>
      <w:r>
        <w:rPr>
          <w:rFonts w:ascii="宋体" w:cs="宋体" w:eastAsia="宋体" w:hAnsi="宋体"/>
          <w:sz w:val="29"/>
          <w:szCs w:val="29"/>
          <w:color w:val="auto"/>
        </w:rPr>
        <w:t>应当至少满足以下情形之一</w:t>
      </w:r>
      <w:r>
        <w:rPr>
          <w:rFonts w:ascii="Arial" w:cs="Arial" w:eastAsia="Arial" w:hAnsi="Arial"/>
          <w:sz w:val="29"/>
          <w:szCs w:val="29"/>
          <w:color w:val="auto"/>
        </w:rPr>
        <w:t>:</w:t>
      </w:r>
    </w:p>
    <w:p>
      <w:pPr>
        <w:spacing w:after="0" w:line="200" w:lineRule="exact"/>
        <w:rPr>
          <w:sz w:val="20"/>
          <w:szCs w:val="20"/>
          <w:color w:val="auto"/>
        </w:rPr>
      </w:pPr>
    </w:p>
    <w:p>
      <w:pPr>
        <w:spacing w:after="0" w:line="392" w:lineRule="exact"/>
        <w:rPr>
          <w:sz w:val="20"/>
          <w:szCs w:val="20"/>
          <w:color w:val="auto"/>
        </w:rPr>
      </w:pPr>
    </w:p>
    <w:p>
      <w:pPr>
        <w:ind w:left="720"/>
        <w:spacing w:after="0" w:line="352" w:lineRule="exact"/>
        <w:rPr>
          <w:sz w:val="20"/>
          <w:szCs w:val="20"/>
          <w:color w:val="auto"/>
        </w:rPr>
      </w:pPr>
      <w:r>
        <w:rPr>
          <w:rFonts w:ascii="MS PGothic" w:cs="MS PGothic" w:eastAsia="MS PGothic" w:hAnsi="MS PGothic"/>
          <w:sz w:val="29"/>
          <w:szCs w:val="29"/>
          <w:color w:val="auto"/>
        </w:rPr>
        <w:t>①</w:t>
      </w:r>
      <w:r>
        <w:rPr>
          <w:rFonts w:ascii="宋体" w:cs="宋体" w:eastAsia="宋体" w:hAnsi="宋体"/>
          <w:sz w:val="29"/>
          <w:szCs w:val="29"/>
          <w:color w:val="auto"/>
        </w:rPr>
        <w:t>应在区域上具有联系性</w:t>
      </w:r>
      <w:r>
        <w:rPr>
          <w:rFonts w:ascii="Arial" w:cs="Arial" w:eastAsia="Arial" w:hAnsi="Arial"/>
          <w:sz w:val="29"/>
          <w:szCs w:val="29"/>
          <w:color w:val="auto"/>
        </w:rPr>
        <w:t>;</w:t>
      </w:r>
    </w:p>
    <w:p>
      <w:pPr>
        <w:spacing w:after="0" w:line="240" w:lineRule="exact"/>
        <w:rPr>
          <w:sz w:val="20"/>
          <w:szCs w:val="20"/>
          <w:color w:val="auto"/>
        </w:rPr>
      </w:pPr>
    </w:p>
    <w:p>
      <w:pPr>
        <w:ind w:left="720"/>
        <w:spacing w:after="0" w:line="352" w:lineRule="exact"/>
        <w:rPr>
          <w:sz w:val="20"/>
          <w:szCs w:val="20"/>
          <w:color w:val="auto"/>
        </w:rPr>
      </w:pPr>
      <w:r>
        <w:rPr>
          <w:rFonts w:ascii="MS PGothic" w:cs="MS PGothic" w:eastAsia="MS PGothic" w:hAnsi="MS PGothic"/>
          <w:sz w:val="29"/>
          <w:szCs w:val="29"/>
          <w:color w:val="auto"/>
        </w:rPr>
        <w:t>②</w:t>
      </w:r>
      <w:r>
        <w:rPr>
          <w:rFonts w:ascii="宋体" w:cs="宋体" w:eastAsia="宋体" w:hAnsi="宋体"/>
          <w:sz w:val="29"/>
          <w:szCs w:val="29"/>
          <w:color w:val="auto"/>
        </w:rPr>
        <w:t>应在市场资源整合上具有联系性</w:t>
      </w:r>
      <w:r>
        <w:rPr>
          <w:rFonts w:ascii="Arial" w:cs="Arial" w:eastAsia="Arial" w:hAnsi="Arial"/>
          <w:sz w:val="29"/>
          <w:szCs w:val="29"/>
          <w:color w:val="auto"/>
        </w:rPr>
        <w:t>;</w:t>
      </w:r>
    </w:p>
    <w:p>
      <w:pPr>
        <w:spacing w:after="0" w:line="242" w:lineRule="exact"/>
        <w:rPr>
          <w:sz w:val="20"/>
          <w:szCs w:val="20"/>
          <w:color w:val="auto"/>
        </w:rPr>
      </w:pPr>
    </w:p>
    <w:p>
      <w:pPr>
        <w:ind w:left="720"/>
        <w:spacing w:after="0" w:line="352" w:lineRule="exact"/>
        <w:rPr>
          <w:sz w:val="20"/>
          <w:szCs w:val="20"/>
          <w:color w:val="auto"/>
        </w:rPr>
      </w:pPr>
      <w:r>
        <w:rPr>
          <w:rFonts w:ascii="MS PGothic" w:cs="MS PGothic" w:eastAsia="MS PGothic" w:hAnsi="MS PGothic"/>
          <w:sz w:val="29"/>
          <w:szCs w:val="29"/>
          <w:color w:val="auto"/>
        </w:rPr>
        <w:t>③</w:t>
      </w:r>
      <w:r>
        <w:rPr>
          <w:rFonts w:ascii="宋体" w:cs="宋体" w:eastAsia="宋体" w:hAnsi="宋体"/>
          <w:sz w:val="29"/>
          <w:szCs w:val="29"/>
          <w:color w:val="auto"/>
        </w:rPr>
        <w:t>应在行业上具有紧密联系性</w:t>
      </w:r>
      <w:r>
        <w:rPr>
          <w:rFonts w:ascii="Arial" w:cs="Arial" w:eastAsia="Arial" w:hAnsi="Arial"/>
          <w:sz w:val="29"/>
          <w:szCs w:val="29"/>
          <w:color w:val="auto"/>
        </w:rPr>
        <w:t>;</w:t>
      </w:r>
    </w:p>
    <w:p>
      <w:pPr>
        <w:spacing w:after="0" w:line="240" w:lineRule="exact"/>
        <w:rPr>
          <w:sz w:val="20"/>
          <w:szCs w:val="20"/>
          <w:color w:val="auto"/>
        </w:rPr>
      </w:pPr>
    </w:p>
    <w:p>
      <w:pPr>
        <w:ind w:left="720"/>
        <w:spacing w:after="0" w:line="352" w:lineRule="exact"/>
        <w:rPr>
          <w:sz w:val="20"/>
          <w:szCs w:val="20"/>
          <w:color w:val="auto"/>
        </w:rPr>
      </w:pPr>
      <w:r>
        <w:rPr>
          <w:rFonts w:ascii="MS PGothic" w:cs="MS PGothic" w:eastAsia="MS PGothic" w:hAnsi="MS PGothic"/>
          <w:sz w:val="29"/>
          <w:szCs w:val="29"/>
          <w:color w:val="auto"/>
        </w:rPr>
        <w:t>④</w:t>
      </w:r>
      <w:r>
        <w:rPr>
          <w:rFonts w:ascii="宋体" w:cs="宋体" w:eastAsia="宋体" w:hAnsi="宋体"/>
          <w:sz w:val="29"/>
          <w:szCs w:val="29"/>
          <w:color w:val="auto"/>
        </w:rPr>
        <w:t>应在功能上具有相互促进性</w:t>
      </w:r>
      <w:r>
        <w:rPr>
          <w:rFonts w:ascii="Arial" w:cs="Arial" w:eastAsia="Arial" w:hAnsi="Arial"/>
          <w:sz w:val="29"/>
          <w:szCs w:val="29"/>
          <w:color w:val="auto"/>
        </w:rPr>
        <w:t>;</w:t>
      </w:r>
    </w:p>
    <w:p>
      <w:pPr>
        <w:spacing w:after="0" w:line="240" w:lineRule="exact"/>
        <w:rPr>
          <w:sz w:val="20"/>
          <w:szCs w:val="20"/>
          <w:color w:val="auto"/>
        </w:rPr>
      </w:pPr>
    </w:p>
    <w:p>
      <w:pPr>
        <w:ind w:left="720"/>
        <w:spacing w:after="0" w:line="331" w:lineRule="exact"/>
        <w:rPr>
          <w:sz w:val="20"/>
          <w:szCs w:val="20"/>
          <w:color w:val="auto"/>
        </w:rPr>
      </w:pPr>
      <w:r>
        <w:rPr>
          <w:rFonts w:ascii="MS PGothic" w:cs="MS PGothic" w:eastAsia="MS PGothic" w:hAnsi="MS PGothic"/>
          <w:sz w:val="29"/>
          <w:szCs w:val="29"/>
          <w:color w:val="auto"/>
        </w:rPr>
        <w:t>⑤</w:t>
      </w:r>
      <w:r>
        <w:rPr>
          <w:rFonts w:ascii="宋体" w:cs="宋体" w:eastAsia="宋体" w:hAnsi="宋体"/>
          <w:sz w:val="29"/>
          <w:szCs w:val="29"/>
          <w:color w:val="auto"/>
        </w:rPr>
        <w:t>应在建筑上具有不可分割性。</w:t>
      </w:r>
    </w:p>
    <w:p>
      <w:pPr>
        <w:spacing w:after="0" w:line="261" w:lineRule="exact"/>
        <w:rPr>
          <w:sz w:val="20"/>
          <w:szCs w:val="20"/>
          <w:color w:val="auto"/>
        </w:rPr>
      </w:pPr>
    </w:p>
    <w:p>
      <w:pPr>
        <w:ind w:left="100" w:right="106" w:firstLine="625"/>
        <w:spacing w:after="0" w:line="592" w:lineRule="exact"/>
        <w:rPr>
          <w:sz w:val="20"/>
          <w:szCs w:val="20"/>
          <w:color w:val="auto"/>
        </w:rPr>
      </w:pPr>
      <w:r>
        <w:rPr>
          <w:rFonts w:ascii="Arial" w:cs="Arial" w:eastAsia="Arial" w:hAnsi="Arial"/>
          <w:sz w:val="29"/>
          <w:szCs w:val="29"/>
          <w:color w:val="auto"/>
        </w:rPr>
        <w:t>(5)</w:t>
      </w:r>
      <w:r>
        <w:rPr>
          <w:rFonts w:ascii="宋体" w:cs="宋体" w:eastAsia="宋体" w:hAnsi="宋体"/>
          <w:sz w:val="29"/>
          <w:szCs w:val="29"/>
          <w:color w:val="auto"/>
        </w:rPr>
        <w:t>实施方案及批复与立项批复在建设内容、建设规模和建设投资等方面存在明显差异且不符合相关规定的</w:t>
      </w:r>
      <w:r>
        <w:rPr>
          <w:rFonts w:ascii="Arial" w:cs="Arial" w:eastAsia="Arial" w:hAnsi="Arial"/>
          <w:sz w:val="29"/>
          <w:szCs w:val="29"/>
          <w:color w:val="auto"/>
        </w:rPr>
        <w:t>;</w:t>
      </w:r>
    </w:p>
    <w:p>
      <w:pPr>
        <w:spacing w:after="0" w:line="3" w:lineRule="exact"/>
        <w:rPr>
          <w:sz w:val="20"/>
          <w:szCs w:val="20"/>
          <w:color w:val="auto"/>
        </w:rPr>
      </w:pPr>
    </w:p>
    <w:p>
      <w:pPr>
        <w:ind w:left="100" w:right="106" w:firstLine="625"/>
        <w:spacing w:after="0" w:line="616" w:lineRule="exact"/>
        <w:rPr>
          <w:sz w:val="20"/>
          <w:szCs w:val="20"/>
          <w:color w:val="auto"/>
        </w:rPr>
      </w:pPr>
      <w:r>
        <w:rPr>
          <w:rFonts w:ascii="Arial" w:cs="Arial" w:eastAsia="Arial" w:hAnsi="Arial"/>
          <w:sz w:val="29"/>
          <w:szCs w:val="29"/>
          <w:color w:val="auto"/>
        </w:rPr>
        <w:t>(6)</w:t>
      </w:r>
      <w:r>
        <w:rPr>
          <w:rFonts w:ascii="宋体" w:cs="宋体" w:eastAsia="宋体" w:hAnsi="宋体"/>
          <w:sz w:val="29"/>
          <w:szCs w:val="29"/>
          <w:color w:val="auto"/>
        </w:rPr>
        <w:t>合作期限低于</w:t>
      </w:r>
      <w:r>
        <w:rPr>
          <w:rFonts w:ascii="Arial" w:cs="Arial" w:eastAsia="Arial" w:hAnsi="Arial"/>
          <w:sz w:val="29"/>
          <w:szCs w:val="29"/>
          <w:color w:val="auto"/>
        </w:rPr>
        <w:t>10</w:t>
      </w:r>
      <w:r>
        <w:rPr>
          <w:rFonts w:ascii="宋体" w:cs="宋体" w:eastAsia="宋体" w:hAnsi="宋体"/>
          <w:sz w:val="29"/>
          <w:szCs w:val="29"/>
          <w:color w:val="auto"/>
        </w:rPr>
        <w:t>年的</w:t>
      </w:r>
      <w:r>
        <w:rPr>
          <w:rFonts w:ascii="Arial" w:cs="Arial" w:eastAsia="Arial" w:hAnsi="Arial"/>
          <w:sz w:val="29"/>
          <w:szCs w:val="29"/>
          <w:color w:val="auto"/>
        </w:rPr>
        <w:t xml:space="preserve"> (</w:t>
      </w:r>
      <w:r>
        <w:rPr>
          <w:rFonts w:ascii="宋体" w:cs="宋体" w:eastAsia="宋体" w:hAnsi="宋体"/>
          <w:sz w:val="29"/>
          <w:szCs w:val="29"/>
          <w:color w:val="auto"/>
        </w:rPr>
        <w:t>运作方式为</w:t>
      </w:r>
      <w:r>
        <w:rPr>
          <w:rFonts w:ascii="Arial" w:cs="Arial" w:eastAsia="Arial" w:hAnsi="Arial"/>
          <w:sz w:val="29"/>
          <w:szCs w:val="29"/>
          <w:color w:val="auto"/>
        </w:rPr>
        <w:t xml:space="preserve"> MC</w:t>
      </w:r>
      <w:r>
        <w:rPr>
          <w:rFonts w:ascii="宋体" w:cs="宋体" w:eastAsia="宋体" w:hAnsi="宋体"/>
          <w:sz w:val="29"/>
          <w:szCs w:val="29"/>
          <w:color w:val="auto"/>
        </w:rPr>
        <w:t>和</w:t>
      </w:r>
      <w:r>
        <w:rPr>
          <w:rFonts w:ascii="Arial" w:cs="Arial" w:eastAsia="Arial" w:hAnsi="Arial"/>
          <w:sz w:val="29"/>
          <w:szCs w:val="29"/>
          <w:color w:val="auto"/>
        </w:rPr>
        <w:t xml:space="preserve"> O&amp;M </w:t>
      </w:r>
      <w:r>
        <w:rPr>
          <w:rFonts w:ascii="宋体" w:cs="宋体" w:eastAsia="宋体" w:hAnsi="宋体"/>
          <w:sz w:val="29"/>
          <w:szCs w:val="29"/>
          <w:color w:val="auto"/>
        </w:rPr>
        <w:t>的除外</w:t>
      </w:r>
      <w:r>
        <w:rPr>
          <w:rFonts w:ascii="Arial" w:cs="Arial" w:eastAsia="Arial" w:hAnsi="Arial"/>
          <w:sz w:val="29"/>
          <w:szCs w:val="29"/>
          <w:color w:val="auto"/>
        </w:rPr>
        <w:t>)</w:t>
      </w:r>
      <w:r>
        <w:rPr>
          <w:rFonts w:ascii="宋体" w:cs="宋体" w:eastAsia="宋体" w:hAnsi="宋体"/>
          <w:sz w:val="29"/>
          <w:szCs w:val="29"/>
          <w:color w:val="auto"/>
        </w:rPr>
        <w:t>。</w:t>
      </w:r>
    </w:p>
    <w:p>
      <w:pPr>
        <w:spacing w:after="0" w:line="200" w:lineRule="exact"/>
        <w:rPr>
          <w:sz w:val="20"/>
          <w:szCs w:val="20"/>
          <w:color w:val="auto"/>
        </w:rPr>
      </w:pPr>
    </w:p>
    <w:p>
      <w:pPr>
        <w:spacing w:after="0" w:line="200" w:lineRule="exact"/>
        <w:rPr>
          <w:sz w:val="20"/>
          <w:szCs w:val="20"/>
          <w:color w:val="auto"/>
        </w:rPr>
      </w:pPr>
    </w:p>
    <w:p>
      <w:pPr>
        <w:spacing w:after="0" w:line="290" w:lineRule="exact"/>
        <w:rPr>
          <w:sz w:val="20"/>
          <w:szCs w:val="20"/>
          <w:color w:val="auto"/>
        </w:rPr>
      </w:pPr>
    </w:p>
    <w:p>
      <w:pPr>
        <w:ind w:left="1120" w:hanging="468"/>
        <w:spacing w:after="0" w:line="352" w:lineRule="exact"/>
        <w:tabs>
          <w:tab w:leader="none" w:pos="1120" w:val="left"/>
        </w:tabs>
        <w:numPr>
          <w:ilvl w:val="0"/>
          <w:numId w:val="7"/>
        </w:numPr>
        <w:rPr>
          <w:rFonts w:ascii="Arial" w:cs="Arial" w:eastAsia="Arial" w:hAnsi="Arial"/>
          <w:sz w:val="29"/>
          <w:szCs w:val="29"/>
          <w:color w:val="auto"/>
        </w:rPr>
      </w:pPr>
      <w:r>
        <w:rPr>
          <w:rFonts w:ascii="宋体" w:cs="宋体" w:eastAsia="宋体" w:hAnsi="宋体"/>
          <w:sz w:val="29"/>
          <w:szCs w:val="29"/>
          <w:color w:val="auto"/>
        </w:rPr>
        <w:t>交易结构不符合规范要求</w:t>
      </w:r>
    </w:p>
    <w:p>
      <w:pPr>
        <w:spacing w:after="0" w:line="119" w:lineRule="exact"/>
        <w:rPr>
          <w:sz w:val="20"/>
          <w:szCs w:val="20"/>
          <w:color w:val="auto"/>
        </w:rPr>
      </w:pPr>
    </w:p>
    <w:p>
      <w:pPr>
        <w:ind w:left="720"/>
        <w:spacing w:after="0" w:line="352" w:lineRule="exact"/>
        <w:rPr>
          <w:sz w:val="20"/>
          <w:szCs w:val="20"/>
          <w:color w:val="auto"/>
        </w:rPr>
      </w:pPr>
      <w:r>
        <w:rPr>
          <w:rFonts w:ascii="Arial" w:cs="Arial" w:eastAsia="Arial" w:hAnsi="Arial"/>
          <w:sz w:val="29"/>
          <w:szCs w:val="29"/>
          <w:color w:val="auto"/>
        </w:rPr>
        <w:t>(1)</w:t>
      </w:r>
      <w:r>
        <w:rPr>
          <w:rFonts w:ascii="宋体" w:cs="宋体" w:eastAsia="宋体" w:hAnsi="宋体"/>
          <w:sz w:val="29"/>
          <w:szCs w:val="29"/>
          <w:color w:val="auto"/>
        </w:rPr>
        <w:t>方案中指定社会资本方的</w:t>
      </w:r>
      <w:r>
        <w:rPr>
          <w:rFonts w:ascii="Arial" w:cs="Arial" w:eastAsia="Arial" w:hAnsi="Arial"/>
          <w:sz w:val="29"/>
          <w:szCs w:val="29"/>
          <w:color w:val="auto"/>
        </w:rPr>
        <w:t>;</w:t>
      </w:r>
    </w:p>
    <w:p>
      <w:pPr>
        <w:spacing w:after="0" w:line="242" w:lineRule="exact"/>
        <w:rPr>
          <w:sz w:val="20"/>
          <w:szCs w:val="20"/>
          <w:color w:val="auto"/>
        </w:rPr>
      </w:pPr>
    </w:p>
    <w:p>
      <w:pPr>
        <w:ind w:left="720" w:right="106"/>
        <w:spacing w:after="0" w:line="592" w:lineRule="exact"/>
        <w:rPr>
          <w:sz w:val="20"/>
          <w:szCs w:val="20"/>
          <w:color w:val="auto"/>
        </w:rPr>
      </w:pPr>
      <w:r>
        <w:rPr>
          <w:rFonts w:ascii="Arial" w:cs="Arial" w:eastAsia="Arial" w:hAnsi="Arial"/>
          <w:sz w:val="29"/>
          <w:szCs w:val="29"/>
          <w:color w:val="auto"/>
        </w:rPr>
        <w:t>(2)</w:t>
      </w:r>
      <w:r>
        <w:rPr>
          <w:rFonts w:ascii="宋体" w:cs="宋体" w:eastAsia="宋体" w:hAnsi="宋体"/>
          <w:sz w:val="29"/>
          <w:szCs w:val="29"/>
          <w:color w:val="auto"/>
        </w:rPr>
        <w:t>调价机制、收益调节机制不清晰或不具有操作性的</w:t>
      </w:r>
      <w:r>
        <w:rPr>
          <w:rFonts w:ascii="Arial" w:cs="Arial" w:eastAsia="Arial" w:hAnsi="Arial"/>
          <w:sz w:val="29"/>
          <w:szCs w:val="29"/>
          <w:color w:val="auto"/>
        </w:rPr>
        <w:t>; (3)</w:t>
      </w:r>
      <w:r>
        <w:rPr>
          <w:rFonts w:ascii="宋体" w:cs="宋体" w:eastAsia="宋体" w:hAnsi="宋体"/>
          <w:sz w:val="29"/>
          <w:szCs w:val="29"/>
          <w:color w:val="auto"/>
        </w:rPr>
        <w:t>提前终止补偿计算不合理或不具有操作性</w:t>
      </w:r>
      <w:r>
        <w:rPr>
          <w:rFonts w:ascii="Arial" w:cs="Arial" w:eastAsia="Arial" w:hAnsi="Arial"/>
          <w:sz w:val="29"/>
          <w:szCs w:val="29"/>
          <w:color w:val="auto"/>
        </w:rPr>
        <w:t>,</w:t>
      </w:r>
      <w:r>
        <w:rPr>
          <w:rFonts w:ascii="宋体" w:cs="宋体" w:eastAsia="宋体" w:hAnsi="宋体"/>
          <w:sz w:val="29"/>
          <w:szCs w:val="29"/>
          <w:color w:val="auto"/>
        </w:rPr>
        <w:t>有可能造成</w:t>
      </w:r>
    </w:p>
    <w:p>
      <w:pPr>
        <w:spacing w:after="0" w:line="1" w:lineRule="exact"/>
        <w:rPr>
          <w:sz w:val="20"/>
          <w:szCs w:val="20"/>
          <w:color w:val="auto"/>
        </w:rPr>
      </w:pPr>
    </w:p>
    <w:p>
      <w:pPr>
        <w:jc w:val="right"/>
        <w:ind w:left="100" w:right="2666"/>
        <w:spacing w:after="0" w:line="592" w:lineRule="exact"/>
        <w:rPr>
          <w:sz w:val="20"/>
          <w:szCs w:val="20"/>
          <w:color w:val="auto"/>
        </w:rPr>
      </w:pPr>
      <w:r>
        <w:rPr>
          <w:rFonts w:ascii="宋体" w:cs="宋体" w:eastAsia="宋体" w:hAnsi="宋体"/>
          <w:sz w:val="29"/>
          <w:szCs w:val="29"/>
          <w:color w:val="auto"/>
        </w:rPr>
        <w:t>社会资本提前退出且政府方制约措施较弱的</w:t>
      </w:r>
      <w:r>
        <w:rPr>
          <w:rFonts w:ascii="Arial" w:cs="Arial" w:eastAsia="Arial" w:hAnsi="Arial"/>
          <w:sz w:val="29"/>
          <w:szCs w:val="29"/>
          <w:color w:val="auto"/>
        </w:rPr>
        <w:t>; (4)</w:t>
      </w:r>
      <w:r>
        <w:rPr>
          <w:rFonts w:ascii="宋体" w:cs="宋体" w:eastAsia="宋体" w:hAnsi="宋体"/>
          <w:sz w:val="29"/>
          <w:szCs w:val="29"/>
          <w:color w:val="auto"/>
        </w:rPr>
        <w:t>风险识别和分配不充分、不合理的</w:t>
      </w:r>
      <w:r>
        <w:rPr>
          <w:rFonts w:ascii="Arial" w:cs="Arial" w:eastAsia="Arial" w:hAnsi="Arial"/>
          <w:sz w:val="29"/>
          <w:szCs w:val="29"/>
          <w:color w:val="auto"/>
        </w:rPr>
        <w:t>;</w:t>
      </w:r>
    </w:p>
    <w:p>
      <w:pPr>
        <w:spacing w:after="0" w:line="3" w:lineRule="exact"/>
        <w:rPr>
          <w:sz w:val="20"/>
          <w:szCs w:val="20"/>
          <w:color w:val="auto"/>
        </w:rPr>
      </w:pPr>
    </w:p>
    <w:p>
      <w:pPr>
        <w:ind w:left="720"/>
        <w:spacing w:after="0" w:line="352" w:lineRule="exact"/>
        <w:rPr>
          <w:sz w:val="20"/>
          <w:szCs w:val="20"/>
          <w:color w:val="auto"/>
        </w:rPr>
      </w:pPr>
      <w:r>
        <w:rPr>
          <w:rFonts w:ascii="Arial" w:cs="Arial" w:eastAsia="Arial" w:hAnsi="Arial"/>
          <w:sz w:val="29"/>
          <w:szCs w:val="29"/>
          <w:color w:val="auto"/>
        </w:rPr>
        <w:t>(5)</w:t>
      </w:r>
      <w:r>
        <w:rPr>
          <w:rFonts w:ascii="宋体" w:cs="宋体" w:eastAsia="宋体" w:hAnsi="宋体"/>
          <w:sz w:val="29"/>
          <w:szCs w:val="29"/>
          <w:color w:val="auto"/>
        </w:rPr>
        <w:t>招标标的设置不合规、不合理、不完整或不清晰的</w:t>
      </w:r>
      <w:r>
        <w:rPr>
          <w:rFonts w:ascii="Arial" w:cs="Arial" w:eastAsia="Arial" w:hAnsi="Arial"/>
          <w:sz w:val="29"/>
          <w:szCs w:val="29"/>
          <w:color w:val="auto"/>
        </w:rPr>
        <w:t>;</w:t>
      </w:r>
    </w:p>
    <w:p>
      <w:pPr>
        <w:spacing w:after="0" w:line="240" w:lineRule="exact"/>
        <w:rPr>
          <w:sz w:val="20"/>
          <w:szCs w:val="20"/>
          <w:color w:val="auto"/>
        </w:rPr>
      </w:pPr>
    </w:p>
    <w:p>
      <w:pPr>
        <w:ind w:left="720"/>
        <w:spacing w:after="0" w:line="352" w:lineRule="exact"/>
        <w:rPr>
          <w:sz w:val="20"/>
          <w:szCs w:val="20"/>
          <w:color w:val="auto"/>
        </w:rPr>
      </w:pPr>
      <w:r>
        <w:rPr>
          <w:rFonts w:ascii="Arial" w:cs="Arial" w:eastAsia="Arial" w:hAnsi="Arial"/>
          <w:sz w:val="29"/>
          <w:szCs w:val="29"/>
          <w:color w:val="auto"/>
        </w:rPr>
        <w:t>(6)</w:t>
      </w:r>
      <w:r>
        <w:rPr>
          <w:rFonts w:ascii="宋体" w:cs="宋体" w:eastAsia="宋体" w:hAnsi="宋体"/>
          <w:sz w:val="29"/>
          <w:szCs w:val="29"/>
          <w:color w:val="auto"/>
        </w:rPr>
        <w:t>重置、大中修费用未进行约定或约定据实结算的</w:t>
      </w:r>
      <w:r>
        <w:rPr>
          <w:rFonts w:ascii="Arial" w:cs="Arial" w:eastAsia="Arial" w:hAnsi="Arial"/>
          <w:sz w:val="29"/>
          <w:szCs w:val="29"/>
          <w:color w:val="auto"/>
        </w:rPr>
        <w:t>;</w:t>
      </w:r>
    </w:p>
    <w:p>
      <w:pPr>
        <w:spacing w:after="0" w:line="240" w:lineRule="exact"/>
        <w:rPr>
          <w:sz w:val="20"/>
          <w:szCs w:val="20"/>
          <w:color w:val="auto"/>
        </w:rPr>
      </w:pPr>
    </w:p>
    <w:p>
      <w:pPr>
        <w:ind w:left="100" w:right="106" w:firstLine="625"/>
        <w:spacing w:after="0" w:line="599" w:lineRule="exact"/>
        <w:rPr>
          <w:sz w:val="20"/>
          <w:szCs w:val="20"/>
          <w:color w:val="auto"/>
        </w:rPr>
      </w:pPr>
      <w:r>
        <w:rPr>
          <w:rFonts w:ascii="Arial" w:cs="Arial" w:eastAsia="Arial" w:hAnsi="Arial"/>
          <w:sz w:val="29"/>
          <w:szCs w:val="29"/>
          <w:color w:val="auto"/>
        </w:rPr>
        <w:t>(7)</w:t>
      </w:r>
      <w:r>
        <w:rPr>
          <w:rFonts w:ascii="宋体" w:cs="宋体" w:eastAsia="宋体" w:hAnsi="宋体"/>
          <w:sz w:val="29"/>
          <w:szCs w:val="29"/>
          <w:color w:val="auto"/>
        </w:rPr>
        <w:t>将一个项目分为不同标段分别采购不同的社会资本但无合理解释的</w:t>
      </w:r>
      <w:r>
        <w:rPr>
          <w:rFonts w:ascii="Arial" w:cs="Arial" w:eastAsia="Arial" w:hAnsi="Arial"/>
          <w:sz w:val="29"/>
          <w:szCs w:val="29"/>
          <w:color w:val="auto"/>
        </w:rPr>
        <w:t>;</w:t>
      </w:r>
    </w:p>
    <w:p>
      <w:pPr>
        <w:sectPr>
          <w:pgSz w:w="11900" w:h="16838" w:orient="portrait"/>
          <w:cols w:equalWidth="0" w:num="1">
            <w:col w:w="9026"/>
          </w:cols>
          <w:pgMar w:left="1440" w:top="1440" w:right="1440" w:bottom="1037" w:gutter="0" w:footer="0" w:header="0"/>
        </w:sectPr>
      </w:pPr>
    </w:p>
    <w:p>
      <w:pPr>
        <w:ind w:left="7540"/>
        <w:spacing w:after="0"/>
        <w:rPr>
          <w:sz w:val="20"/>
          <w:szCs w:val="20"/>
          <w:color w:val="auto"/>
        </w:rPr>
      </w:pPr>
      <w:r>
        <w:rPr>
          <w:rFonts w:ascii="Arial" w:cs="Arial" w:eastAsia="Arial" w:hAnsi="Arial"/>
          <w:sz w:val="26"/>
          <w:szCs w:val="26"/>
          <w:color w:val="auto"/>
        </w:rPr>
        <w:t>— 3 —</w:t>
      </w:r>
    </w:p>
    <w:p>
      <w:pPr>
        <w:sectPr>
          <w:pgSz w:w="11900" w:h="16838" w:orient="portrait"/>
          <w:cols w:equalWidth="0" w:num="1">
            <w:col w:w="9026"/>
          </w:cols>
          <w:pgMar w:left="1440" w:top="1440" w:right="1440" w:bottom="1037" w:gutter="0" w:footer="0" w:header="0"/>
          <w:type w:val="continuous"/>
        </w:sectPr>
      </w:pPr>
    </w:p>
    <w:bookmarkStart w:id="3" w:name="page4"/>
    <w:bookmarkEnd w:id="3"/>
    <w:p>
      <w:pPr>
        <w:spacing w:after="0" w:line="200" w:lineRule="exact"/>
        <w:rPr>
          <w:sz w:val="20"/>
          <w:szCs w:val="20"/>
          <w:color w:val="auto"/>
        </w:rPr>
      </w:pPr>
    </w:p>
    <w:p>
      <w:pPr>
        <w:spacing w:after="0" w:line="254" w:lineRule="exact"/>
        <w:rPr>
          <w:sz w:val="20"/>
          <w:szCs w:val="20"/>
          <w:color w:val="auto"/>
        </w:rPr>
      </w:pPr>
    </w:p>
    <w:p>
      <w:pPr>
        <w:jc w:val="right"/>
        <w:ind w:left="100" w:right="160"/>
        <w:spacing w:after="0" w:line="592" w:lineRule="exact"/>
        <w:rPr>
          <w:sz w:val="20"/>
          <w:szCs w:val="20"/>
          <w:color w:val="auto"/>
        </w:rPr>
      </w:pPr>
      <w:r>
        <w:rPr>
          <w:rFonts w:ascii="Arial" w:cs="Arial" w:eastAsia="Arial" w:hAnsi="Arial"/>
          <w:sz w:val="29"/>
          <w:szCs w:val="29"/>
          <w:color w:val="auto"/>
        </w:rPr>
        <w:t>(8)</w:t>
      </w:r>
      <w:r>
        <w:rPr>
          <w:rFonts w:ascii="宋体" w:cs="宋体" w:eastAsia="宋体" w:hAnsi="宋体"/>
          <w:sz w:val="29"/>
          <w:szCs w:val="29"/>
          <w:color w:val="auto"/>
        </w:rPr>
        <w:t>交易结构的设计显示</w:t>
      </w:r>
      <w:r>
        <w:rPr>
          <w:rFonts w:ascii="Arial" w:cs="Arial" w:eastAsia="Arial" w:hAnsi="Arial"/>
          <w:sz w:val="29"/>
          <w:szCs w:val="29"/>
          <w:color w:val="auto"/>
        </w:rPr>
        <w:t>,</w:t>
      </w:r>
      <w:r>
        <w:rPr>
          <w:rFonts w:ascii="宋体" w:cs="宋体" w:eastAsia="宋体" w:hAnsi="宋体"/>
          <w:sz w:val="29"/>
          <w:szCs w:val="29"/>
          <w:color w:val="auto"/>
        </w:rPr>
        <w:t>直接明示或间接导致由政府或政府指定机构承诺回购社会资本投资本金或承担投资本金损失的</w:t>
      </w:r>
      <w:r>
        <w:rPr>
          <w:rFonts w:ascii="Arial" w:cs="Arial" w:eastAsia="Arial" w:hAnsi="Arial"/>
          <w:sz w:val="29"/>
          <w:szCs w:val="29"/>
          <w:color w:val="auto"/>
        </w:rPr>
        <w:t>; (9)</w:t>
      </w:r>
      <w:r>
        <w:rPr>
          <w:rFonts w:ascii="宋体" w:cs="宋体" w:eastAsia="宋体" w:hAnsi="宋体"/>
          <w:sz w:val="29"/>
          <w:szCs w:val="29"/>
          <w:color w:val="auto"/>
        </w:rPr>
        <w:t>交易结构的设计显示</w:t>
      </w:r>
      <w:r>
        <w:rPr>
          <w:rFonts w:ascii="Arial" w:cs="Arial" w:eastAsia="Arial" w:hAnsi="Arial"/>
          <w:sz w:val="29"/>
          <w:szCs w:val="29"/>
          <w:color w:val="auto"/>
        </w:rPr>
        <w:t>,</w:t>
      </w:r>
      <w:r>
        <w:rPr>
          <w:rFonts w:ascii="宋体" w:cs="宋体" w:eastAsia="宋体" w:hAnsi="宋体"/>
          <w:sz w:val="29"/>
          <w:szCs w:val="29"/>
          <w:color w:val="auto"/>
        </w:rPr>
        <w:t>直接造成或间接导致政府向社会</w:t>
      </w:r>
    </w:p>
    <w:p>
      <w:pPr>
        <w:spacing w:after="0" w:line="1" w:lineRule="exact"/>
        <w:rPr>
          <w:sz w:val="20"/>
          <w:szCs w:val="20"/>
          <w:color w:val="auto"/>
        </w:rPr>
      </w:pPr>
    </w:p>
    <w:p>
      <w:pPr>
        <w:ind w:left="100"/>
        <w:spacing w:after="0" w:line="352" w:lineRule="exact"/>
        <w:rPr>
          <w:sz w:val="20"/>
          <w:szCs w:val="20"/>
          <w:color w:val="auto"/>
        </w:rPr>
      </w:pPr>
      <w:r>
        <w:rPr>
          <w:rFonts w:ascii="宋体" w:cs="宋体" w:eastAsia="宋体" w:hAnsi="宋体"/>
          <w:sz w:val="29"/>
          <w:szCs w:val="29"/>
          <w:color w:val="auto"/>
        </w:rPr>
        <w:t>资本承诺固定收益回报或最低收益的</w:t>
      </w:r>
      <w:r>
        <w:rPr>
          <w:rFonts w:ascii="Arial" w:cs="Arial" w:eastAsia="Arial" w:hAnsi="Arial"/>
          <w:sz w:val="29"/>
          <w:szCs w:val="29"/>
          <w:color w:val="auto"/>
        </w:rPr>
        <w:t>;</w:t>
      </w:r>
    </w:p>
    <w:p>
      <w:pPr>
        <w:spacing w:after="0" w:line="240" w:lineRule="exact"/>
        <w:rPr>
          <w:sz w:val="20"/>
          <w:szCs w:val="20"/>
          <w:color w:val="auto"/>
        </w:rPr>
      </w:pPr>
    </w:p>
    <w:p>
      <w:pPr>
        <w:jc w:val="both"/>
        <w:ind w:left="100" w:right="160" w:firstLine="625"/>
        <w:spacing w:after="0" w:line="592" w:lineRule="exact"/>
        <w:rPr>
          <w:sz w:val="20"/>
          <w:szCs w:val="20"/>
          <w:color w:val="auto"/>
        </w:rPr>
      </w:pPr>
      <w:r>
        <w:rPr>
          <w:rFonts w:ascii="Arial" w:cs="Arial" w:eastAsia="Arial" w:hAnsi="Arial"/>
          <w:sz w:val="29"/>
          <w:szCs w:val="29"/>
          <w:color w:val="auto"/>
        </w:rPr>
        <w:t>(10)</w:t>
      </w:r>
      <w:r>
        <w:rPr>
          <w:rFonts w:ascii="宋体" w:cs="宋体" w:eastAsia="宋体" w:hAnsi="宋体"/>
          <w:sz w:val="29"/>
          <w:szCs w:val="29"/>
          <w:color w:val="auto"/>
        </w:rPr>
        <w:t>政府方、政府指定机构或政府方出资代表为社会资本或项目公司融资提供任何形式担保及还款承诺的</w:t>
      </w:r>
      <w:r>
        <w:rPr>
          <w:rFonts w:ascii="Arial" w:cs="Arial" w:eastAsia="Arial" w:hAnsi="Arial"/>
          <w:sz w:val="29"/>
          <w:szCs w:val="29"/>
          <w:color w:val="auto"/>
        </w:rPr>
        <w:t>;</w:t>
      </w:r>
    </w:p>
    <w:p>
      <w:pPr>
        <w:spacing w:after="0" w:line="3" w:lineRule="exact"/>
        <w:rPr>
          <w:sz w:val="20"/>
          <w:szCs w:val="20"/>
          <w:color w:val="auto"/>
        </w:rPr>
      </w:pPr>
    </w:p>
    <w:p>
      <w:pPr>
        <w:jc w:val="both"/>
        <w:ind w:left="100" w:right="160" w:firstLine="625"/>
        <w:spacing w:after="0" w:line="592" w:lineRule="exact"/>
        <w:rPr>
          <w:sz w:val="20"/>
          <w:szCs w:val="20"/>
          <w:color w:val="auto"/>
        </w:rPr>
      </w:pPr>
      <w:r>
        <w:rPr>
          <w:rFonts w:ascii="Arial" w:cs="Arial" w:eastAsia="Arial" w:hAnsi="Arial"/>
          <w:sz w:val="29"/>
          <w:szCs w:val="29"/>
          <w:color w:val="auto"/>
        </w:rPr>
        <w:t>(11)</w:t>
      </w:r>
      <w:r>
        <w:rPr>
          <w:rFonts w:ascii="宋体" w:cs="宋体" w:eastAsia="宋体" w:hAnsi="宋体"/>
          <w:sz w:val="29"/>
          <w:szCs w:val="29"/>
          <w:color w:val="auto"/>
        </w:rPr>
        <w:t>将项目融资偿还责任交由地方政府承担或明确约定由项目公司代政府融资、由政府承担还本付息责任的</w:t>
      </w:r>
      <w:r>
        <w:rPr>
          <w:rFonts w:ascii="Arial" w:cs="Arial" w:eastAsia="Arial" w:hAnsi="Arial"/>
          <w:sz w:val="29"/>
          <w:szCs w:val="29"/>
          <w:color w:val="auto"/>
        </w:rPr>
        <w:t>;</w:t>
      </w:r>
    </w:p>
    <w:p>
      <w:pPr>
        <w:spacing w:after="0" w:line="1" w:lineRule="exact"/>
        <w:rPr>
          <w:sz w:val="20"/>
          <w:szCs w:val="20"/>
          <w:color w:val="auto"/>
        </w:rPr>
      </w:pPr>
    </w:p>
    <w:p>
      <w:pPr>
        <w:jc w:val="both"/>
        <w:ind w:left="100" w:right="160" w:firstLine="625"/>
        <w:spacing w:after="0" w:line="592" w:lineRule="exact"/>
        <w:rPr>
          <w:sz w:val="20"/>
          <w:szCs w:val="20"/>
          <w:color w:val="auto"/>
        </w:rPr>
      </w:pPr>
      <w:r>
        <w:rPr>
          <w:rFonts w:ascii="Arial" w:cs="Arial" w:eastAsia="Arial" w:hAnsi="Arial"/>
          <w:sz w:val="29"/>
          <w:szCs w:val="29"/>
          <w:color w:val="auto"/>
        </w:rPr>
        <w:t>(12)</w:t>
      </w:r>
      <w:r>
        <w:rPr>
          <w:rFonts w:ascii="宋体" w:cs="宋体" w:eastAsia="宋体" w:hAnsi="宋体"/>
          <w:sz w:val="29"/>
          <w:szCs w:val="29"/>
          <w:color w:val="auto"/>
        </w:rPr>
        <w:t>直接明示或间接导致明股实债情形的</w:t>
      </w:r>
      <w:r>
        <w:rPr>
          <w:rFonts w:ascii="Arial" w:cs="Arial" w:eastAsia="Arial" w:hAnsi="Arial"/>
          <w:sz w:val="29"/>
          <w:szCs w:val="29"/>
          <w:color w:val="auto"/>
        </w:rPr>
        <w:t>,</w:t>
      </w:r>
      <w:r>
        <w:rPr>
          <w:rFonts w:ascii="宋体" w:cs="宋体" w:eastAsia="宋体" w:hAnsi="宋体"/>
          <w:sz w:val="29"/>
          <w:szCs w:val="29"/>
          <w:color w:val="auto"/>
        </w:rPr>
        <w:t>包括对有限合伙制基金等任何股权投资方式额外附加条款变相举债的</w:t>
      </w:r>
      <w:r>
        <w:rPr>
          <w:rFonts w:ascii="Arial" w:cs="Arial" w:eastAsia="Arial" w:hAnsi="Arial"/>
          <w:sz w:val="29"/>
          <w:szCs w:val="29"/>
          <w:color w:val="auto"/>
        </w:rPr>
        <w:t>;</w:t>
      </w:r>
    </w:p>
    <w:p>
      <w:pPr>
        <w:spacing w:after="0" w:line="3" w:lineRule="exact"/>
        <w:rPr>
          <w:sz w:val="20"/>
          <w:szCs w:val="20"/>
          <w:color w:val="auto"/>
        </w:rPr>
      </w:pPr>
    </w:p>
    <w:p>
      <w:pPr>
        <w:ind w:left="720"/>
        <w:spacing w:after="0" w:line="352" w:lineRule="exact"/>
        <w:rPr>
          <w:sz w:val="20"/>
          <w:szCs w:val="20"/>
          <w:color w:val="auto"/>
        </w:rPr>
      </w:pPr>
      <w:r>
        <w:rPr>
          <w:rFonts w:ascii="Arial" w:cs="Arial" w:eastAsia="Arial" w:hAnsi="Arial"/>
          <w:sz w:val="29"/>
          <w:szCs w:val="29"/>
          <w:color w:val="auto"/>
        </w:rPr>
        <w:t>(13)</w:t>
      </w:r>
      <w:r>
        <w:rPr>
          <w:rFonts w:ascii="宋体" w:cs="宋体" w:eastAsia="宋体" w:hAnsi="宋体"/>
          <w:sz w:val="29"/>
          <w:szCs w:val="29"/>
          <w:color w:val="auto"/>
        </w:rPr>
        <w:t>存在其他违法违规举债担保行为的。</w:t>
      </w:r>
    </w:p>
    <w:p>
      <w:pPr>
        <w:spacing w:after="0" w:line="362" w:lineRule="exact"/>
        <w:rPr>
          <w:sz w:val="20"/>
          <w:szCs w:val="20"/>
          <w:color w:val="auto"/>
        </w:rPr>
      </w:pPr>
    </w:p>
    <w:p>
      <w:pPr>
        <w:ind w:left="1120" w:hanging="468"/>
        <w:spacing w:after="0" w:line="352" w:lineRule="exact"/>
        <w:tabs>
          <w:tab w:leader="none" w:pos="1120" w:val="left"/>
        </w:tabs>
        <w:numPr>
          <w:ilvl w:val="0"/>
          <w:numId w:val="8"/>
        </w:numPr>
        <w:rPr>
          <w:rFonts w:ascii="Arial" w:cs="Arial" w:eastAsia="Arial" w:hAnsi="Arial"/>
          <w:sz w:val="29"/>
          <w:szCs w:val="29"/>
          <w:color w:val="auto"/>
        </w:rPr>
      </w:pPr>
      <w:r>
        <w:rPr>
          <w:rFonts w:ascii="宋体" w:cs="宋体" w:eastAsia="宋体" w:hAnsi="宋体"/>
          <w:sz w:val="29"/>
          <w:szCs w:val="29"/>
          <w:color w:val="auto"/>
        </w:rPr>
        <w:t>绩效考核不符合规范要求</w:t>
      </w:r>
    </w:p>
    <w:p>
      <w:pPr>
        <w:spacing w:after="0" w:line="119" w:lineRule="exact"/>
        <w:rPr>
          <w:sz w:val="20"/>
          <w:szCs w:val="20"/>
          <w:color w:val="auto"/>
        </w:rPr>
      </w:pPr>
    </w:p>
    <w:p>
      <w:pPr>
        <w:jc w:val="both"/>
        <w:ind w:left="100" w:right="160" w:firstLine="625"/>
        <w:spacing w:after="0" w:line="592" w:lineRule="exact"/>
        <w:rPr>
          <w:sz w:val="20"/>
          <w:szCs w:val="20"/>
          <w:color w:val="auto"/>
        </w:rPr>
      </w:pPr>
      <w:r>
        <w:rPr>
          <w:rFonts w:ascii="Arial" w:cs="Arial" w:eastAsia="Arial" w:hAnsi="Arial"/>
          <w:sz w:val="29"/>
          <w:szCs w:val="29"/>
          <w:color w:val="auto"/>
        </w:rPr>
        <w:t>(1)</w:t>
      </w:r>
      <w:r>
        <w:rPr>
          <w:rFonts w:ascii="宋体" w:cs="宋体" w:eastAsia="宋体" w:hAnsi="宋体"/>
          <w:sz w:val="29"/>
          <w:szCs w:val="29"/>
          <w:color w:val="auto"/>
        </w:rPr>
        <w:t>只有绩效考核得分的制度设计</w:t>
      </w:r>
      <w:r>
        <w:rPr>
          <w:rFonts w:ascii="Arial" w:cs="Arial" w:eastAsia="Arial" w:hAnsi="Arial"/>
          <w:sz w:val="29"/>
          <w:szCs w:val="29"/>
          <w:color w:val="auto"/>
        </w:rPr>
        <w:t>,</w:t>
      </w:r>
      <w:r>
        <w:rPr>
          <w:rFonts w:ascii="宋体" w:cs="宋体" w:eastAsia="宋体" w:hAnsi="宋体"/>
          <w:sz w:val="29"/>
          <w:szCs w:val="29"/>
          <w:color w:val="auto"/>
        </w:rPr>
        <w:t>没有规划相应的绩效考核详细说明、绩效付费系数或绩效付费比例的</w:t>
      </w:r>
      <w:r>
        <w:rPr>
          <w:rFonts w:ascii="Arial" w:cs="Arial" w:eastAsia="Arial" w:hAnsi="Arial"/>
          <w:sz w:val="29"/>
          <w:szCs w:val="29"/>
          <w:color w:val="auto"/>
        </w:rPr>
        <w:t>;</w:t>
      </w:r>
    </w:p>
    <w:p>
      <w:pPr>
        <w:spacing w:after="0" w:line="3" w:lineRule="exact"/>
        <w:rPr>
          <w:sz w:val="20"/>
          <w:szCs w:val="20"/>
          <w:color w:val="auto"/>
        </w:rPr>
      </w:pPr>
    </w:p>
    <w:p>
      <w:pPr>
        <w:jc w:val="both"/>
        <w:ind w:left="100" w:right="160" w:firstLine="625"/>
        <w:spacing w:after="0" w:line="592" w:lineRule="exact"/>
        <w:rPr>
          <w:sz w:val="20"/>
          <w:szCs w:val="20"/>
          <w:color w:val="auto"/>
        </w:rPr>
      </w:pPr>
      <w:r>
        <w:rPr>
          <w:rFonts w:ascii="Arial" w:cs="Arial" w:eastAsia="Arial" w:hAnsi="Arial"/>
          <w:sz w:val="29"/>
          <w:szCs w:val="29"/>
          <w:color w:val="auto"/>
        </w:rPr>
        <w:t>(2)</w:t>
      </w:r>
      <w:r>
        <w:rPr>
          <w:rFonts w:ascii="宋体" w:cs="宋体" w:eastAsia="宋体" w:hAnsi="宋体"/>
          <w:sz w:val="29"/>
          <w:szCs w:val="29"/>
          <w:color w:val="auto"/>
        </w:rPr>
        <w:t>降低考核标准及指标应用过于宽松造成提前锁定、固化政府支出责任的</w:t>
      </w:r>
      <w:r>
        <w:rPr>
          <w:rFonts w:ascii="Arial" w:cs="Arial" w:eastAsia="Arial" w:hAnsi="Arial"/>
          <w:sz w:val="29"/>
          <w:szCs w:val="29"/>
          <w:color w:val="auto"/>
        </w:rPr>
        <w:t>;</w:t>
      </w:r>
    </w:p>
    <w:p>
      <w:pPr>
        <w:spacing w:after="0" w:line="1" w:lineRule="exact"/>
        <w:rPr>
          <w:sz w:val="20"/>
          <w:szCs w:val="20"/>
          <w:color w:val="auto"/>
        </w:rPr>
      </w:pPr>
    </w:p>
    <w:p>
      <w:pPr>
        <w:jc w:val="both"/>
        <w:ind w:left="100" w:right="160" w:firstLine="625"/>
        <w:spacing w:after="0" w:line="592" w:lineRule="exact"/>
        <w:rPr>
          <w:sz w:val="20"/>
          <w:szCs w:val="20"/>
          <w:color w:val="auto"/>
        </w:rPr>
      </w:pPr>
      <w:r>
        <w:rPr>
          <w:rFonts w:ascii="Arial" w:cs="Arial" w:eastAsia="Arial" w:hAnsi="Arial"/>
          <w:sz w:val="29"/>
          <w:szCs w:val="29"/>
          <w:color w:val="auto"/>
        </w:rPr>
        <w:t>(3)</w:t>
      </w:r>
      <w:r>
        <w:rPr>
          <w:rFonts w:ascii="宋体" w:cs="宋体" w:eastAsia="宋体" w:hAnsi="宋体"/>
          <w:sz w:val="29"/>
          <w:szCs w:val="29"/>
          <w:color w:val="auto"/>
        </w:rPr>
        <w:t>未建立完全与项目产出绩效相挂钩的付费机制。从纵向上看</w:t>
      </w:r>
      <w:r>
        <w:rPr>
          <w:rFonts w:ascii="Arial" w:cs="Arial" w:eastAsia="Arial" w:hAnsi="Arial"/>
          <w:sz w:val="29"/>
          <w:szCs w:val="29"/>
          <w:color w:val="auto"/>
        </w:rPr>
        <w:t>,</w:t>
      </w:r>
      <w:r>
        <w:rPr>
          <w:rFonts w:ascii="宋体" w:cs="宋体" w:eastAsia="宋体" w:hAnsi="宋体"/>
          <w:sz w:val="29"/>
          <w:szCs w:val="29"/>
          <w:color w:val="auto"/>
        </w:rPr>
        <w:t>未建立全生命周期考核机制</w:t>
      </w:r>
      <w:r>
        <w:rPr>
          <w:rFonts w:ascii="Arial" w:cs="Arial" w:eastAsia="Arial" w:hAnsi="Arial"/>
          <w:sz w:val="29"/>
          <w:szCs w:val="29"/>
          <w:color w:val="auto"/>
        </w:rPr>
        <w:t xml:space="preserve"> (</w:t>
      </w:r>
      <w:r>
        <w:rPr>
          <w:rFonts w:ascii="宋体" w:cs="宋体" w:eastAsia="宋体" w:hAnsi="宋体"/>
          <w:sz w:val="29"/>
          <w:szCs w:val="29"/>
          <w:color w:val="auto"/>
        </w:rPr>
        <w:t>含建设期和运营期</w:t>
      </w:r>
      <w:r>
        <w:rPr>
          <w:rFonts w:ascii="Arial" w:cs="Arial" w:eastAsia="Arial" w:hAnsi="Arial"/>
          <w:sz w:val="29"/>
          <w:szCs w:val="29"/>
          <w:color w:val="auto"/>
        </w:rPr>
        <w:t>),</w:t>
      </w:r>
      <w:r>
        <w:rPr>
          <w:rFonts w:ascii="宋体" w:cs="宋体" w:eastAsia="宋体" w:hAnsi="宋体"/>
          <w:sz w:val="29"/>
          <w:szCs w:val="29"/>
          <w:color w:val="auto"/>
        </w:rPr>
        <w:t>从横向上看</w:t>
      </w:r>
      <w:r>
        <w:rPr>
          <w:rFonts w:ascii="Arial" w:cs="Arial" w:eastAsia="Arial" w:hAnsi="Arial"/>
          <w:sz w:val="29"/>
          <w:szCs w:val="29"/>
          <w:color w:val="auto"/>
        </w:rPr>
        <w:t>,</w:t>
      </w:r>
      <w:r>
        <w:rPr>
          <w:rFonts w:ascii="宋体" w:cs="宋体" w:eastAsia="宋体" w:hAnsi="宋体"/>
          <w:sz w:val="29"/>
          <w:szCs w:val="29"/>
          <w:color w:val="auto"/>
        </w:rPr>
        <w:t>绩效考核结果未与可用性付费、运维付费相挂钩。</w:t>
      </w:r>
    </w:p>
    <w:p>
      <w:pPr>
        <w:spacing w:after="0" w:line="3" w:lineRule="exact"/>
        <w:rPr>
          <w:sz w:val="20"/>
          <w:szCs w:val="20"/>
          <w:color w:val="auto"/>
        </w:rPr>
      </w:pPr>
    </w:p>
    <w:p>
      <w:pPr>
        <w:ind w:left="720"/>
        <w:spacing w:after="0" w:line="352" w:lineRule="exact"/>
        <w:rPr>
          <w:sz w:val="20"/>
          <w:szCs w:val="20"/>
          <w:color w:val="auto"/>
        </w:rPr>
      </w:pPr>
      <w:r>
        <w:rPr>
          <w:rFonts w:ascii="Arial" w:cs="Arial" w:eastAsia="Arial" w:hAnsi="Arial"/>
          <w:sz w:val="29"/>
          <w:szCs w:val="29"/>
          <w:color w:val="auto"/>
        </w:rPr>
        <w:t>(</w:t>
      </w:r>
      <w:r>
        <w:rPr>
          <w:rFonts w:ascii="宋体" w:cs="宋体" w:eastAsia="宋体" w:hAnsi="宋体"/>
          <w:sz w:val="29"/>
          <w:szCs w:val="29"/>
          <w:color w:val="auto"/>
        </w:rPr>
        <w:t>五</w:t>
      </w:r>
      <w:r>
        <w:rPr>
          <w:rFonts w:ascii="Arial" w:cs="Arial" w:eastAsia="Arial" w:hAnsi="Arial"/>
          <w:sz w:val="29"/>
          <w:szCs w:val="29"/>
          <w:color w:val="auto"/>
        </w:rPr>
        <w:t>)</w:t>
      </w:r>
      <w:r>
        <w:rPr>
          <w:rFonts w:ascii="宋体" w:cs="宋体" w:eastAsia="宋体" w:hAnsi="宋体"/>
          <w:sz w:val="29"/>
          <w:szCs w:val="29"/>
          <w:color w:val="auto"/>
        </w:rPr>
        <w:t>物有所值评价及财政承受能力论证</w:t>
      </w:r>
    </w:p>
    <w:p>
      <w:pPr>
        <w:spacing w:after="0" w:line="240" w:lineRule="exact"/>
        <w:rPr>
          <w:sz w:val="20"/>
          <w:szCs w:val="20"/>
          <w:color w:val="auto"/>
        </w:rPr>
      </w:pPr>
    </w:p>
    <w:p>
      <w:pPr>
        <w:ind w:left="1120" w:hanging="468"/>
        <w:spacing w:after="0" w:line="352" w:lineRule="exact"/>
        <w:tabs>
          <w:tab w:leader="none" w:pos="1120" w:val="left"/>
        </w:tabs>
        <w:numPr>
          <w:ilvl w:val="0"/>
          <w:numId w:val="9"/>
        </w:numPr>
        <w:rPr>
          <w:rFonts w:ascii="Arial" w:cs="Arial" w:eastAsia="Arial" w:hAnsi="Arial"/>
          <w:sz w:val="29"/>
          <w:szCs w:val="29"/>
          <w:color w:val="auto"/>
        </w:rPr>
      </w:pPr>
      <w:r>
        <w:rPr>
          <w:rFonts w:ascii="宋体" w:cs="宋体" w:eastAsia="宋体" w:hAnsi="宋体"/>
          <w:sz w:val="29"/>
          <w:szCs w:val="29"/>
          <w:color w:val="auto"/>
        </w:rPr>
        <w:t>未按规定履行物有所值评价和财政承受能力论证程序、</w:t>
      </w:r>
    </w:p>
    <w:p>
      <w:pPr>
        <w:spacing w:after="0" w:line="240" w:lineRule="exact"/>
        <w:rPr>
          <w:sz w:val="20"/>
          <w:szCs w:val="20"/>
          <w:color w:val="auto"/>
        </w:rPr>
      </w:pPr>
    </w:p>
    <w:p>
      <w:pPr>
        <w:ind w:left="100"/>
        <w:spacing w:after="0" w:line="331" w:lineRule="exact"/>
        <w:rPr>
          <w:sz w:val="20"/>
          <w:szCs w:val="20"/>
          <w:color w:val="auto"/>
        </w:rPr>
      </w:pPr>
      <w:r>
        <w:rPr>
          <w:rFonts w:ascii="宋体" w:cs="宋体" w:eastAsia="宋体" w:hAnsi="宋体"/>
          <w:sz w:val="29"/>
          <w:szCs w:val="29"/>
          <w:color w:val="auto"/>
        </w:rPr>
        <w:t>评价方法和程序不符合规定、上传物有所值评价报告缺少专家打</w:t>
      </w:r>
    </w:p>
    <w:p>
      <w:pPr>
        <w:sectPr>
          <w:pgSz w:w="11900" w:h="16838" w:orient="portrait"/>
          <w:cols w:equalWidth="0" w:num="1">
            <w:col w:w="9080"/>
          </w:cols>
          <w:pgMar w:left="1440" w:top="1440" w:right="1386" w:bottom="1037" w:gutter="0" w:footer="0" w:header="0"/>
        </w:sectPr>
      </w:pPr>
    </w:p>
    <w:p>
      <w:pPr>
        <w:spacing w:after="0" w:line="275" w:lineRule="exact"/>
        <w:rPr>
          <w:sz w:val="20"/>
          <w:szCs w:val="20"/>
          <w:color w:val="auto"/>
        </w:rPr>
      </w:pPr>
    </w:p>
    <w:p>
      <w:pPr>
        <w:ind w:left="380"/>
        <w:spacing w:after="0"/>
        <w:rPr>
          <w:sz w:val="20"/>
          <w:szCs w:val="20"/>
          <w:color w:val="auto"/>
        </w:rPr>
      </w:pPr>
      <w:r>
        <w:rPr>
          <w:rFonts w:ascii="Arial" w:cs="Arial" w:eastAsia="Arial" w:hAnsi="Arial"/>
          <w:sz w:val="26"/>
          <w:szCs w:val="26"/>
          <w:color w:val="auto"/>
        </w:rPr>
        <w:t>— 4 —</w:t>
      </w:r>
    </w:p>
    <w:p>
      <w:pPr>
        <w:sectPr>
          <w:pgSz w:w="11900" w:h="16838" w:orient="portrait"/>
          <w:cols w:equalWidth="0" w:num="1">
            <w:col w:w="9080"/>
          </w:cols>
          <w:pgMar w:left="1440" w:top="1440" w:right="1386" w:bottom="1037" w:gutter="0" w:footer="0" w:header="0"/>
          <w:type w:val="continuous"/>
        </w:sectPr>
      </w:pPr>
    </w:p>
    <w:bookmarkStart w:id="4" w:name="page5"/>
    <w:bookmarkEnd w:id="4"/>
    <w:p>
      <w:pPr>
        <w:spacing w:after="0" w:line="200" w:lineRule="exact"/>
        <w:rPr>
          <w:sz w:val="20"/>
          <w:szCs w:val="20"/>
          <w:color w:val="auto"/>
        </w:rPr>
      </w:pPr>
    </w:p>
    <w:p>
      <w:pPr>
        <w:spacing w:after="0" w:line="254" w:lineRule="exact"/>
        <w:rPr>
          <w:sz w:val="20"/>
          <w:szCs w:val="20"/>
          <w:color w:val="auto"/>
        </w:rPr>
      </w:pPr>
    </w:p>
    <w:p>
      <w:pPr>
        <w:ind w:left="100"/>
        <w:spacing w:after="0" w:line="352" w:lineRule="exact"/>
        <w:rPr>
          <w:sz w:val="20"/>
          <w:szCs w:val="20"/>
          <w:color w:val="auto"/>
        </w:rPr>
      </w:pPr>
      <w:r>
        <w:rPr>
          <w:rFonts w:ascii="宋体" w:cs="宋体" w:eastAsia="宋体" w:hAnsi="宋体"/>
          <w:sz w:val="29"/>
          <w:szCs w:val="29"/>
          <w:color w:val="auto"/>
        </w:rPr>
        <w:t>分表</w:t>
      </w:r>
      <w:r>
        <w:rPr>
          <w:rFonts w:ascii="Arial" w:cs="Arial" w:eastAsia="Arial" w:hAnsi="Arial"/>
          <w:sz w:val="29"/>
          <w:szCs w:val="29"/>
          <w:color w:val="auto"/>
        </w:rPr>
        <w:t>;</w:t>
      </w:r>
    </w:p>
    <w:p>
      <w:pPr>
        <w:spacing w:after="0" w:line="383" w:lineRule="exact"/>
        <w:rPr>
          <w:sz w:val="20"/>
          <w:szCs w:val="20"/>
          <w:color w:val="auto"/>
        </w:rPr>
      </w:pPr>
    </w:p>
    <w:p>
      <w:pPr>
        <w:jc w:val="both"/>
        <w:ind w:left="100" w:right="160" w:firstLine="552"/>
        <w:spacing w:after="0" w:line="579" w:lineRule="exact"/>
        <w:tabs>
          <w:tab w:leader="none" w:pos="1121" w:val="left"/>
        </w:tabs>
        <w:numPr>
          <w:ilvl w:val="0"/>
          <w:numId w:val="10"/>
        </w:numPr>
        <w:rPr>
          <w:rFonts w:ascii="Arial" w:cs="Arial" w:eastAsia="Arial" w:hAnsi="Arial"/>
          <w:sz w:val="29"/>
          <w:szCs w:val="29"/>
          <w:color w:val="auto"/>
        </w:rPr>
      </w:pPr>
      <w:r>
        <w:rPr>
          <w:rFonts w:ascii="宋体" w:cs="宋体" w:eastAsia="宋体" w:hAnsi="宋体"/>
          <w:sz w:val="29"/>
          <w:szCs w:val="29"/>
          <w:color w:val="auto"/>
        </w:rPr>
        <w:t>财政承受能力论证报告中只计算本项目政府支出责任占比</w:t>
      </w:r>
      <w:r>
        <w:rPr>
          <w:rFonts w:ascii="Arial" w:cs="Arial" w:eastAsia="Arial" w:hAnsi="Arial"/>
          <w:sz w:val="29"/>
          <w:szCs w:val="29"/>
          <w:color w:val="auto"/>
        </w:rPr>
        <w:t>,</w:t>
      </w:r>
      <w:r>
        <w:rPr>
          <w:rFonts w:ascii="宋体" w:cs="宋体" w:eastAsia="宋体" w:hAnsi="宋体"/>
          <w:sz w:val="29"/>
          <w:szCs w:val="29"/>
          <w:color w:val="auto"/>
        </w:rPr>
        <w:t>无其他已通过财承论证项目的政府支出责任明细</w:t>
      </w:r>
      <w:r>
        <w:rPr>
          <w:rFonts w:ascii="Arial" w:cs="Arial" w:eastAsia="Arial" w:hAnsi="Arial"/>
          <w:sz w:val="29"/>
          <w:szCs w:val="29"/>
          <w:color w:val="auto"/>
        </w:rPr>
        <w:t>,</w:t>
      </w:r>
      <w:r>
        <w:rPr>
          <w:rFonts w:ascii="宋体" w:cs="宋体" w:eastAsia="宋体" w:hAnsi="宋体"/>
          <w:sz w:val="29"/>
          <w:szCs w:val="29"/>
          <w:color w:val="auto"/>
        </w:rPr>
        <w:t>以及无本项目和其他已通过财承论证项目累计财承数据的</w:t>
      </w:r>
      <w:r>
        <w:rPr>
          <w:rFonts w:ascii="Arial" w:cs="Arial" w:eastAsia="Arial" w:hAnsi="Arial"/>
          <w:sz w:val="29"/>
          <w:szCs w:val="29"/>
          <w:color w:val="auto"/>
        </w:rPr>
        <w:t>;</w:t>
      </w:r>
    </w:p>
    <w:p>
      <w:pPr>
        <w:spacing w:after="0" w:line="40" w:lineRule="exact"/>
        <w:rPr>
          <w:rFonts w:ascii="Arial" w:cs="Arial" w:eastAsia="Arial" w:hAnsi="Arial"/>
          <w:sz w:val="29"/>
          <w:szCs w:val="29"/>
          <w:color w:val="auto"/>
        </w:rPr>
      </w:pPr>
    </w:p>
    <w:p>
      <w:pPr>
        <w:jc w:val="both"/>
        <w:ind w:left="100" w:firstLine="552"/>
        <w:spacing w:after="0" w:line="522" w:lineRule="exact"/>
        <w:tabs>
          <w:tab w:leader="none" w:pos="1121" w:val="left"/>
        </w:tabs>
        <w:numPr>
          <w:ilvl w:val="0"/>
          <w:numId w:val="10"/>
        </w:numPr>
        <w:rPr>
          <w:rFonts w:ascii="Arial" w:cs="Arial" w:eastAsia="Arial" w:hAnsi="Arial"/>
          <w:sz w:val="29"/>
          <w:szCs w:val="29"/>
          <w:color w:val="auto"/>
        </w:rPr>
      </w:pPr>
      <w:r>
        <w:rPr>
          <w:rFonts w:ascii="宋体" w:cs="宋体" w:eastAsia="宋体" w:hAnsi="宋体"/>
          <w:sz w:val="29"/>
          <w:szCs w:val="29"/>
          <w:color w:val="auto"/>
        </w:rPr>
        <w:t>同一年度通过财政承受能力论证的项目所使用的一般公共预算支出增长率不一致的或一般公共预算支出增长率不合理</w:t>
      </w:r>
      <w:r>
        <w:rPr>
          <w:rFonts w:ascii="Arial" w:cs="Arial" w:eastAsia="Arial" w:hAnsi="Arial"/>
          <w:sz w:val="29"/>
          <w:szCs w:val="29"/>
          <w:color w:val="auto"/>
        </w:rPr>
        <w:t>,</w:t>
      </w:r>
    </w:p>
    <w:p>
      <w:pPr>
        <w:ind w:left="100" w:right="160"/>
        <w:spacing w:after="0" w:line="592" w:lineRule="exact"/>
        <w:rPr>
          <w:sz w:val="20"/>
          <w:szCs w:val="20"/>
          <w:color w:val="auto"/>
        </w:rPr>
      </w:pPr>
      <w:r>
        <w:rPr>
          <w:rFonts w:ascii="宋体" w:cs="宋体" w:eastAsia="宋体" w:hAnsi="宋体"/>
          <w:sz w:val="29"/>
          <w:szCs w:val="29"/>
          <w:color w:val="auto"/>
        </w:rPr>
        <w:t>与前五年扣除偶发性因素的平均增长率偏离较大的。对于未来年度一般公共预算支出增长率超</w:t>
      </w:r>
      <w:r>
        <w:rPr>
          <w:rFonts w:ascii="Arial" w:cs="Arial" w:eastAsia="Arial" w:hAnsi="Arial"/>
          <w:sz w:val="29"/>
          <w:szCs w:val="29"/>
          <w:color w:val="auto"/>
        </w:rPr>
        <w:t>10%,</w:t>
      </w:r>
      <w:r>
        <w:rPr>
          <w:rFonts w:ascii="宋体" w:cs="宋体" w:eastAsia="宋体" w:hAnsi="宋体"/>
          <w:sz w:val="29"/>
          <w:szCs w:val="29"/>
          <w:color w:val="auto"/>
        </w:rPr>
        <w:t>缺少合理性论证说明的</w:t>
      </w:r>
      <w:r>
        <w:rPr>
          <w:rFonts w:ascii="Arial" w:cs="Arial" w:eastAsia="Arial" w:hAnsi="Arial"/>
          <w:sz w:val="29"/>
          <w:szCs w:val="29"/>
          <w:color w:val="auto"/>
        </w:rPr>
        <w:t>;</w:t>
      </w:r>
    </w:p>
    <w:p>
      <w:pPr>
        <w:spacing w:after="0" w:line="1" w:lineRule="exact"/>
        <w:rPr>
          <w:sz w:val="20"/>
          <w:szCs w:val="20"/>
          <w:color w:val="auto"/>
        </w:rPr>
      </w:pPr>
    </w:p>
    <w:p>
      <w:pPr>
        <w:jc w:val="both"/>
        <w:ind w:left="100" w:right="160" w:firstLine="552"/>
        <w:spacing w:after="0" w:line="592" w:lineRule="exact"/>
        <w:tabs>
          <w:tab w:leader="none" w:pos="1121" w:val="left"/>
        </w:tabs>
        <w:numPr>
          <w:ilvl w:val="0"/>
          <w:numId w:val="11"/>
        </w:numPr>
        <w:rPr>
          <w:rFonts w:ascii="Arial" w:cs="Arial" w:eastAsia="Arial" w:hAnsi="Arial"/>
          <w:sz w:val="29"/>
          <w:szCs w:val="29"/>
          <w:color w:val="auto"/>
        </w:rPr>
      </w:pPr>
      <w:r>
        <w:rPr>
          <w:rFonts w:ascii="宋体" w:cs="宋体" w:eastAsia="宋体" w:hAnsi="宋体"/>
          <w:sz w:val="29"/>
          <w:szCs w:val="29"/>
          <w:color w:val="auto"/>
        </w:rPr>
        <w:t>政府付费或可行性缺口补助在项目合作期内未连续、平滑政府支出责任</w:t>
      </w:r>
      <w:r>
        <w:rPr>
          <w:rFonts w:ascii="Arial" w:cs="Arial" w:eastAsia="Arial" w:hAnsi="Arial"/>
          <w:sz w:val="29"/>
          <w:szCs w:val="29"/>
          <w:color w:val="auto"/>
        </w:rPr>
        <w:t>,</w:t>
      </w:r>
      <w:r>
        <w:rPr>
          <w:rFonts w:ascii="宋体" w:cs="宋体" w:eastAsia="宋体" w:hAnsi="宋体"/>
          <w:sz w:val="29"/>
          <w:szCs w:val="29"/>
          <w:color w:val="auto"/>
        </w:rPr>
        <w:t>导致某一时期内财政支出压力激增</w:t>
      </w:r>
      <w:r>
        <w:rPr>
          <w:rFonts w:ascii="Arial" w:cs="Arial" w:eastAsia="Arial" w:hAnsi="Arial"/>
          <w:sz w:val="29"/>
          <w:szCs w:val="29"/>
          <w:color w:val="auto"/>
        </w:rPr>
        <w:t>,</w:t>
      </w:r>
      <w:r>
        <w:rPr>
          <w:rFonts w:ascii="宋体" w:cs="宋体" w:eastAsia="宋体" w:hAnsi="宋体"/>
          <w:sz w:val="29"/>
          <w:szCs w:val="29"/>
          <w:color w:val="auto"/>
        </w:rPr>
        <w:t>人为调整</w:t>
      </w:r>
    </w:p>
    <w:p>
      <w:pPr>
        <w:spacing w:after="0" w:line="3" w:lineRule="exact"/>
        <w:rPr>
          <w:sz w:val="20"/>
          <w:szCs w:val="20"/>
          <w:color w:val="auto"/>
        </w:rPr>
      </w:pPr>
    </w:p>
    <w:p>
      <w:pPr>
        <w:ind w:left="100"/>
        <w:spacing w:after="0" w:line="352" w:lineRule="exact"/>
        <w:rPr>
          <w:sz w:val="20"/>
          <w:szCs w:val="20"/>
          <w:color w:val="auto"/>
        </w:rPr>
      </w:pPr>
      <w:r>
        <w:rPr>
          <w:rFonts w:ascii="宋体" w:cs="宋体" w:eastAsia="宋体" w:hAnsi="宋体"/>
          <w:sz w:val="29"/>
          <w:szCs w:val="29"/>
          <w:color w:val="auto"/>
        </w:rPr>
        <w:t>迹象明显的</w:t>
      </w:r>
      <w:r>
        <w:rPr>
          <w:rFonts w:ascii="Arial" w:cs="Arial" w:eastAsia="Arial" w:hAnsi="Arial"/>
          <w:sz w:val="29"/>
          <w:szCs w:val="29"/>
          <w:color w:val="auto"/>
        </w:rPr>
        <w:t>;</w:t>
      </w:r>
    </w:p>
    <w:p>
      <w:pPr>
        <w:spacing w:after="0" w:line="240" w:lineRule="exact"/>
        <w:rPr>
          <w:sz w:val="20"/>
          <w:szCs w:val="20"/>
          <w:color w:val="auto"/>
        </w:rPr>
      </w:pPr>
    </w:p>
    <w:p>
      <w:pPr>
        <w:jc w:val="both"/>
        <w:ind w:left="100" w:firstLine="551"/>
        <w:spacing w:after="0" w:line="673" w:lineRule="exact"/>
        <w:rPr>
          <w:sz w:val="20"/>
          <w:szCs w:val="20"/>
          <w:color w:val="auto"/>
        </w:rPr>
      </w:pPr>
      <w:r>
        <w:rPr>
          <w:rFonts w:ascii="Arial" w:cs="Arial" w:eastAsia="Arial" w:hAnsi="Arial"/>
          <w:sz w:val="29"/>
          <w:szCs w:val="29"/>
          <w:color w:val="auto"/>
        </w:rPr>
        <w:t>5.2019</w:t>
      </w:r>
      <w:r>
        <w:rPr>
          <w:rFonts w:ascii="宋体" w:cs="宋体" w:eastAsia="宋体" w:hAnsi="宋体"/>
          <w:sz w:val="29"/>
          <w:szCs w:val="29"/>
          <w:color w:val="auto"/>
        </w:rPr>
        <w:t>年</w:t>
      </w:r>
      <w:r>
        <w:rPr>
          <w:rFonts w:ascii="Arial" w:cs="Arial" w:eastAsia="Arial" w:hAnsi="Arial"/>
          <w:sz w:val="29"/>
          <w:szCs w:val="29"/>
          <w:color w:val="auto"/>
        </w:rPr>
        <w:t>3</w:t>
      </w:r>
      <w:r>
        <w:rPr>
          <w:rFonts w:ascii="宋体" w:cs="宋体" w:eastAsia="宋体" w:hAnsi="宋体"/>
          <w:sz w:val="29"/>
          <w:szCs w:val="29"/>
          <w:color w:val="auto"/>
        </w:rPr>
        <w:t>月</w:t>
      </w:r>
      <w:r>
        <w:rPr>
          <w:rFonts w:ascii="Arial" w:cs="Arial" w:eastAsia="Arial" w:hAnsi="Arial"/>
          <w:sz w:val="29"/>
          <w:szCs w:val="29"/>
          <w:color w:val="auto"/>
        </w:rPr>
        <w:t>7</w:t>
      </w:r>
      <w:r>
        <w:rPr>
          <w:rFonts w:ascii="宋体" w:cs="宋体" w:eastAsia="宋体" w:hAnsi="宋体"/>
          <w:sz w:val="29"/>
          <w:szCs w:val="29"/>
          <w:color w:val="auto"/>
        </w:rPr>
        <w:t>日以后签约项目违规从政府性基金预算、国有资本经营预算安排</w:t>
      </w:r>
      <w:r>
        <w:rPr>
          <w:rFonts w:ascii="Arial" w:cs="Arial" w:eastAsia="Arial" w:hAnsi="Arial"/>
          <w:sz w:val="29"/>
          <w:szCs w:val="29"/>
          <w:color w:val="auto"/>
        </w:rPr>
        <w:t>PPP</w:t>
      </w:r>
      <w:r>
        <w:rPr>
          <w:rFonts w:ascii="宋体" w:cs="宋体" w:eastAsia="宋体" w:hAnsi="宋体"/>
          <w:sz w:val="29"/>
          <w:szCs w:val="29"/>
          <w:color w:val="auto"/>
        </w:rPr>
        <w:t>项目运营补贴支出的</w:t>
      </w:r>
      <w:r>
        <w:rPr>
          <w:rFonts w:ascii="Arial" w:cs="Arial" w:eastAsia="Arial" w:hAnsi="Arial"/>
          <w:sz w:val="29"/>
          <w:szCs w:val="29"/>
          <w:color w:val="auto"/>
        </w:rPr>
        <w:t xml:space="preserve"> (</w:t>
      </w:r>
      <w:r>
        <w:rPr>
          <w:rFonts w:ascii="宋体" w:cs="宋体" w:eastAsia="宋体" w:hAnsi="宋体"/>
          <w:sz w:val="29"/>
          <w:szCs w:val="29"/>
          <w:color w:val="auto"/>
        </w:rPr>
        <w:t>依照收支两条线管理的污水、垃圾处理类项目除外。将其它公共资产建设内容与部分污水、垃圾处理类项目捆绑打包的</w:t>
      </w:r>
      <w:r>
        <w:rPr>
          <w:rFonts w:ascii="Arial" w:cs="Arial" w:eastAsia="Arial" w:hAnsi="Arial"/>
          <w:sz w:val="29"/>
          <w:szCs w:val="29"/>
          <w:color w:val="auto"/>
        </w:rPr>
        <w:t>,</w:t>
      </w:r>
      <w:r>
        <w:rPr>
          <w:rFonts w:ascii="宋体" w:cs="宋体" w:eastAsia="宋体" w:hAnsi="宋体"/>
          <w:sz w:val="29"/>
          <w:szCs w:val="29"/>
          <w:color w:val="auto"/>
        </w:rPr>
        <w:t>视同非污水、垃圾处理类项目</w:t>
      </w:r>
      <w:r>
        <w:rPr>
          <w:rFonts w:ascii="Arial" w:cs="Arial" w:eastAsia="Arial" w:hAnsi="Arial"/>
          <w:sz w:val="29"/>
          <w:szCs w:val="29"/>
          <w:color w:val="auto"/>
        </w:rPr>
        <w:t>);</w:t>
      </w:r>
    </w:p>
    <w:p>
      <w:pPr>
        <w:spacing w:after="0" w:line="273" w:lineRule="exact"/>
        <w:rPr>
          <w:sz w:val="20"/>
          <w:szCs w:val="20"/>
          <w:color w:val="auto"/>
        </w:rPr>
      </w:pPr>
    </w:p>
    <w:p>
      <w:pPr>
        <w:ind w:left="1120" w:hanging="468"/>
        <w:spacing w:after="0" w:line="352" w:lineRule="exact"/>
        <w:tabs>
          <w:tab w:leader="none" w:pos="1120" w:val="left"/>
        </w:tabs>
        <w:numPr>
          <w:ilvl w:val="0"/>
          <w:numId w:val="12"/>
        </w:numPr>
        <w:rPr>
          <w:rFonts w:ascii="Arial" w:cs="Arial" w:eastAsia="Arial" w:hAnsi="Arial"/>
          <w:sz w:val="29"/>
          <w:szCs w:val="29"/>
          <w:color w:val="auto"/>
        </w:rPr>
      </w:pPr>
      <w:r>
        <w:rPr>
          <w:rFonts w:ascii="宋体" w:cs="宋体" w:eastAsia="宋体" w:hAnsi="宋体"/>
          <w:sz w:val="29"/>
          <w:szCs w:val="29"/>
          <w:color w:val="auto"/>
        </w:rPr>
        <w:t>合规使用政府性基金预算、国有资本经营预算安排</w:t>
      </w:r>
      <w:r>
        <w:rPr>
          <w:rFonts w:ascii="Arial" w:cs="Arial" w:eastAsia="Arial" w:hAnsi="Arial"/>
          <w:sz w:val="29"/>
          <w:szCs w:val="29"/>
          <w:color w:val="auto"/>
        </w:rPr>
        <w:t xml:space="preserve"> PPP</w:t>
      </w:r>
    </w:p>
    <w:p>
      <w:pPr>
        <w:spacing w:after="0" w:line="240" w:lineRule="exact"/>
        <w:rPr>
          <w:sz w:val="20"/>
          <w:szCs w:val="20"/>
          <w:color w:val="auto"/>
        </w:rPr>
      </w:pPr>
    </w:p>
    <w:p>
      <w:pPr>
        <w:jc w:val="both"/>
        <w:ind w:left="100" w:right="160"/>
        <w:spacing w:after="0" w:line="592" w:lineRule="exact"/>
        <w:rPr>
          <w:sz w:val="20"/>
          <w:szCs w:val="20"/>
          <w:color w:val="auto"/>
        </w:rPr>
      </w:pPr>
      <w:r>
        <w:rPr>
          <w:rFonts w:ascii="宋体" w:cs="宋体" w:eastAsia="宋体" w:hAnsi="宋体"/>
          <w:sz w:val="29"/>
          <w:szCs w:val="29"/>
          <w:color w:val="auto"/>
        </w:rPr>
        <w:t>项目支出</w:t>
      </w:r>
      <w:r>
        <w:rPr>
          <w:rFonts w:ascii="Arial" w:cs="Arial" w:eastAsia="Arial" w:hAnsi="Arial"/>
          <w:sz w:val="29"/>
          <w:szCs w:val="29"/>
          <w:color w:val="auto"/>
        </w:rPr>
        <w:t>,</w:t>
      </w:r>
      <w:r>
        <w:rPr>
          <w:rFonts w:ascii="宋体" w:cs="宋体" w:eastAsia="宋体" w:hAnsi="宋体"/>
          <w:sz w:val="29"/>
          <w:szCs w:val="29"/>
          <w:color w:val="auto"/>
        </w:rPr>
        <w:t>但缺乏政策方向和相关规定的符合性分析</w:t>
      </w:r>
      <w:r>
        <w:rPr>
          <w:rFonts w:ascii="Arial" w:cs="Arial" w:eastAsia="Arial" w:hAnsi="Arial"/>
          <w:sz w:val="29"/>
          <w:szCs w:val="29"/>
          <w:color w:val="auto"/>
        </w:rPr>
        <w:t xml:space="preserve"> (</w:t>
      </w:r>
      <w:r>
        <w:rPr>
          <w:rFonts w:ascii="宋体" w:cs="宋体" w:eastAsia="宋体" w:hAnsi="宋体"/>
          <w:sz w:val="29"/>
          <w:szCs w:val="29"/>
          <w:color w:val="auto"/>
        </w:rPr>
        <w:t>即合规性</w:t>
      </w:r>
      <w:r>
        <w:rPr>
          <w:rFonts w:ascii="Arial" w:cs="Arial" w:eastAsia="Arial" w:hAnsi="Arial"/>
          <w:sz w:val="29"/>
          <w:szCs w:val="29"/>
          <w:color w:val="auto"/>
        </w:rPr>
        <w:t>)</w:t>
      </w:r>
      <w:r>
        <w:rPr>
          <w:rFonts w:ascii="宋体" w:cs="宋体" w:eastAsia="宋体" w:hAnsi="宋体"/>
          <w:sz w:val="29"/>
          <w:szCs w:val="29"/>
          <w:color w:val="auto"/>
        </w:rPr>
        <w:t>、以及缺乏相应的财力可行性分析论证或财力可行性分析明显有违经济常识的</w:t>
      </w:r>
      <w:r>
        <w:rPr>
          <w:rFonts w:ascii="Arial" w:cs="Arial" w:eastAsia="Arial" w:hAnsi="Arial"/>
          <w:sz w:val="29"/>
          <w:szCs w:val="29"/>
          <w:color w:val="auto"/>
        </w:rPr>
        <w:t xml:space="preserve"> (</w:t>
      </w:r>
      <w:r>
        <w:rPr>
          <w:rFonts w:ascii="宋体" w:cs="宋体" w:eastAsia="宋体" w:hAnsi="宋体"/>
          <w:sz w:val="29"/>
          <w:szCs w:val="29"/>
          <w:color w:val="auto"/>
        </w:rPr>
        <w:t>即充足性和合理性</w:t>
      </w:r>
      <w:r>
        <w:rPr>
          <w:rFonts w:ascii="Arial" w:cs="Arial" w:eastAsia="Arial" w:hAnsi="Arial"/>
          <w:sz w:val="29"/>
          <w:szCs w:val="29"/>
          <w:color w:val="auto"/>
        </w:rPr>
        <w:t>);</w:t>
      </w:r>
    </w:p>
    <w:p>
      <w:pPr>
        <w:spacing w:after="0" w:line="3" w:lineRule="exact"/>
        <w:rPr>
          <w:sz w:val="20"/>
          <w:szCs w:val="20"/>
          <w:color w:val="auto"/>
        </w:rPr>
      </w:pPr>
    </w:p>
    <w:p>
      <w:pPr>
        <w:ind w:left="660"/>
        <w:spacing w:after="0" w:line="352" w:lineRule="exact"/>
        <w:rPr>
          <w:sz w:val="20"/>
          <w:szCs w:val="20"/>
          <w:color w:val="auto"/>
        </w:rPr>
      </w:pPr>
      <w:r>
        <w:rPr>
          <w:rFonts w:ascii="Arial" w:cs="Arial" w:eastAsia="Arial" w:hAnsi="Arial"/>
          <w:sz w:val="29"/>
          <w:szCs w:val="29"/>
          <w:color w:val="auto"/>
        </w:rPr>
        <w:t>7.2019</w:t>
      </w:r>
      <w:r>
        <w:rPr>
          <w:rFonts w:ascii="宋体" w:cs="宋体" w:eastAsia="宋体" w:hAnsi="宋体"/>
          <w:sz w:val="29"/>
          <w:szCs w:val="29"/>
          <w:color w:val="auto"/>
        </w:rPr>
        <w:t>年</w:t>
      </w:r>
      <w:r>
        <w:rPr>
          <w:rFonts w:ascii="Arial" w:cs="Arial" w:eastAsia="Arial" w:hAnsi="Arial"/>
          <w:sz w:val="29"/>
          <w:szCs w:val="29"/>
          <w:color w:val="auto"/>
        </w:rPr>
        <w:t>3</w:t>
      </w:r>
      <w:r>
        <w:rPr>
          <w:rFonts w:ascii="宋体" w:cs="宋体" w:eastAsia="宋体" w:hAnsi="宋体"/>
          <w:sz w:val="29"/>
          <w:szCs w:val="29"/>
          <w:color w:val="auto"/>
        </w:rPr>
        <w:t>月</w:t>
      </w:r>
      <w:r>
        <w:rPr>
          <w:rFonts w:ascii="Arial" w:cs="Arial" w:eastAsia="Arial" w:hAnsi="Arial"/>
          <w:sz w:val="29"/>
          <w:szCs w:val="29"/>
          <w:color w:val="auto"/>
        </w:rPr>
        <w:t>7</w:t>
      </w:r>
      <w:r>
        <w:rPr>
          <w:rFonts w:ascii="宋体" w:cs="宋体" w:eastAsia="宋体" w:hAnsi="宋体"/>
          <w:sz w:val="29"/>
          <w:szCs w:val="29"/>
          <w:color w:val="auto"/>
        </w:rPr>
        <w:t>日前已签订正式</w:t>
      </w:r>
      <w:r>
        <w:rPr>
          <w:rFonts w:ascii="Arial" w:cs="Arial" w:eastAsia="Arial" w:hAnsi="Arial"/>
          <w:sz w:val="29"/>
          <w:szCs w:val="29"/>
          <w:color w:val="auto"/>
        </w:rPr>
        <w:t>PPP</w:t>
      </w:r>
      <w:r>
        <w:rPr>
          <w:rFonts w:ascii="宋体" w:cs="宋体" w:eastAsia="宋体" w:hAnsi="宋体"/>
          <w:sz w:val="29"/>
          <w:szCs w:val="29"/>
          <w:color w:val="auto"/>
        </w:rPr>
        <w:t>合同的项目、</w:t>
      </w:r>
      <w:r>
        <w:rPr>
          <w:rFonts w:ascii="Arial" w:cs="Arial" w:eastAsia="Arial" w:hAnsi="Arial"/>
          <w:sz w:val="29"/>
          <w:szCs w:val="29"/>
          <w:color w:val="auto"/>
        </w:rPr>
        <w:t>2019</w:t>
      </w:r>
      <w:r>
        <w:rPr>
          <w:rFonts w:ascii="宋体" w:cs="宋体" w:eastAsia="宋体" w:hAnsi="宋体"/>
          <w:sz w:val="29"/>
          <w:szCs w:val="29"/>
          <w:color w:val="auto"/>
        </w:rPr>
        <w:t>年</w:t>
      </w:r>
    </w:p>
    <w:p>
      <w:pPr>
        <w:spacing w:after="0" w:line="240" w:lineRule="exact"/>
        <w:rPr>
          <w:sz w:val="20"/>
          <w:szCs w:val="20"/>
          <w:color w:val="auto"/>
        </w:rPr>
      </w:pPr>
    </w:p>
    <w:p>
      <w:pPr>
        <w:ind w:left="20"/>
        <w:spacing w:after="0" w:line="352" w:lineRule="exact"/>
        <w:rPr>
          <w:sz w:val="20"/>
          <w:szCs w:val="20"/>
          <w:color w:val="auto"/>
        </w:rPr>
      </w:pPr>
      <w:r>
        <w:rPr>
          <w:rFonts w:ascii="Arial" w:cs="Arial" w:eastAsia="Arial" w:hAnsi="Arial"/>
          <w:sz w:val="29"/>
          <w:szCs w:val="29"/>
          <w:color w:val="auto"/>
        </w:rPr>
        <w:t>3</w:t>
      </w:r>
      <w:r>
        <w:rPr>
          <w:rFonts w:ascii="宋体" w:cs="宋体" w:eastAsia="宋体" w:hAnsi="宋体"/>
          <w:sz w:val="29"/>
          <w:szCs w:val="29"/>
          <w:color w:val="auto"/>
        </w:rPr>
        <w:t>月</w:t>
      </w:r>
      <w:r>
        <w:rPr>
          <w:rFonts w:ascii="Arial" w:cs="Arial" w:eastAsia="Arial" w:hAnsi="Arial"/>
          <w:sz w:val="29"/>
          <w:szCs w:val="29"/>
          <w:color w:val="auto"/>
        </w:rPr>
        <w:t>7</w:t>
      </w:r>
      <w:r>
        <w:rPr>
          <w:rFonts w:ascii="宋体" w:cs="宋体" w:eastAsia="宋体" w:hAnsi="宋体"/>
          <w:sz w:val="29"/>
          <w:szCs w:val="29"/>
          <w:color w:val="auto"/>
        </w:rPr>
        <w:t>日以后污水、垃圾处理等依照收支两条线管理的项目以及</w:t>
      </w:r>
    </w:p>
    <w:p>
      <w:pPr>
        <w:sectPr>
          <w:pgSz w:w="11900" w:h="16838" w:orient="portrait"/>
          <w:cols w:equalWidth="0" w:num="1">
            <w:col w:w="9080"/>
          </w:cols>
          <w:pgMar w:left="1440" w:top="1440" w:right="1386" w:bottom="1037" w:gutter="0" w:footer="0" w:header="0"/>
        </w:sectPr>
      </w:pPr>
    </w:p>
    <w:p>
      <w:pPr>
        <w:spacing w:after="0" w:line="255" w:lineRule="exact"/>
        <w:rPr>
          <w:sz w:val="20"/>
          <w:szCs w:val="20"/>
          <w:color w:val="auto"/>
        </w:rPr>
      </w:pPr>
    </w:p>
    <w:p>
      <w:pPr>
        <w:ind w:left="7540"/>
        <w:spacing w:after="0"/>
        <w:rPr>
          <w:sz w:val="20"/>
          <w:szCs w:val="20"/>
          <w:color w:val="auto"/>
        </w:rPr>
      </w:pPr>
      <w:r>
        <w:rPr>
          <w:rFonts w:ascii="Arial" w:cs="Arial" w:eastAsia="Arial" w:hAnsi="Arial"/>
          <w:sz w:val="26"/>
          <w:szCs w:val="26"/>
          <w:color w:val="auto"/>
        </w:rPr>
        <w:t>— 5 —</w:t>
      </w:r>
    </w:p>
    <w:p>
      <w:pPr>
        <w:sectPr>
          <w:pgSz w:w="11900" w:h="16838" w:orient="portrait"/>
          <w:cols w:equalWidth="0" w:num="1">
            <w:col w:w="9080"/>
          </w:cols>
          <w:pgMar w:left="1440" w:top="1440" w:right="1386" w:bottom="1037" w:gutter="0" w:footer="0" w:header="0"/>
          <w:type w:val="continuous"/>
        </w:sectPr>
      </w:pPr>
    </w:p>
    <w:bookmarkStart w:id="5" w:name="page6"/>
    <w:bookmarkEnd w:id="5"/>
    <w:p>
      <w:pPr>
        <w:spacing w:after="0" w:line="200" w:lineRule="exact"/>
        <w:rPr>
          <w:sz w:val="20"/>
          <w:szCs w:val="20"/>
          <w:color w:val="auto"/>
        </w:rPr>
      </w:pPr>
    </w:p>
    <w:p>
      <w:pPr>
        <w:spacing w:after="0" w:line="254" w:lineRule="exact"/>
        <w:rPr>
          <w:sz w:val="20"/>
          <w:szCs w:val="20"/>
          <w:color w:val="auto"/>
        </w:rPr>
      </w:pPr>
    </w:p>
    <w:p>
      <w:pPr>
        <w:ind w:left="100" w:right="106"/>
        <w:spacing w:after="0" w:line="586" w:lineRule="exact"/>
        <w:rPr>
          <w:sz w:val="20"/>
          <w:szCs w:val="20"/>
          <w:color w:val="auto"/>
        </w:rPr>
      </w:pPr>
      <w:r>
        <w:rPr>
          <w:rFonts w:ascii="宋体" w:cs="宋体" w:eastAsia="宋体" w:hAnsi="宋体"/>
          <w:sz w:val="29"/>
          <w:szCs w:val="29"/>
          <w:color w:val="auto"/>
        </w:rPr>
        <w:t>其他合规使用政府性基金预算、国有资本经营预算数额将不计入本级财承</w:t>
      </w:r>
      <w:r>
        <w:rPr>
          <w:rFonts w:ascii="Arial" w:cs="Arial" w:eastAsia="Arial" w:hAnsi="Arial"/>
          <w:sz w:val="29"/>
          <w:szCs w:val="29"/>
          <w:color w:val="auto"/>
        </w:rPr>
        <w:t>,</w:t>
      </w:r>
      <w:r>
        <w:rPr>
          <w:rFonts w:ascii="宋体" w:cs="宋体" w:eastAsia="宋体" w:hAnsi="宋体"/>
          <w:sz w:val="29"/>
          <w:szCs w:val="29"/>
          <w:color w:val="auto"/>
        </w:rPr>
        <w:t>但应建立台账加强管理</w:t>
      </w:r>
      <w:r>
        <w:rPr>
          <w:rFonts w:ascii="Arial" w:cs="Arial" w:eastAsia="Arial" w:hAnsi="Arial"/>
          <w:sz w:val="29"/>
          <w:szCs w:val="29"/>
          <w:color w:val="auto"/>
        </w:rPr>
        <w:t>;</w:t>
      </w:r>
    </w:p>
    <w:p>
      <w:pPr>
        <w:spacing w:after="0" w:line="3" w:lineRule="exact"/>
        <w:rPr>
          <w:sz w:val="20"/>
          <w:szCs w:val="20"/>
          <w:color w:val="auto"/>
        </w:rPr>
      </w:pPr>
    </w:p>
    <w:p>
      <w:pPr>
        <w:ind w:left="100" w:right="106" w:firstLine="552"/>
        <w:spacing w:after="0" w:line="642" w:lineRule="exact"/>
        <w:tabs>
          <w:tab w:leader="none" w:pos="1121" w:val="left"/>
        </w:tabs>
        <w:numPr>
          <w:ilvl w:val="0"/>
          <w:numId w:val="13"/>
        </w:numPr>
        <w:rPr>
          <w:rFonts w:ascii="Arial" w:cs="Arial" w:eastAsia="Arial" w:hAnsi="Arial"/>
          <w:sz w:val="29"/>
          <w:szCs w:val="29"/>
          <w:color w:val="auto"/>
        </w:rPr>
      </w:pPr>
      <w:r>
        <w:rPr>
          <w:rFonts w:ascii="宋体" w:cs="宋体" w:eastAsia="宋体" w:hAnsi="宋体"/>
          <w:sz w:val="29"/>
          <w:szCs w:val="29"/>
          <w:color w:val="auto"/>
        </w:rPr>
        <w:t>设置过低的定价指标以绕开</w:t>
      </w:r>
      <w:r>
        <w:rPr>
          <w:rFonts w:ascii="Arial" w:cs="Arial" w:eastAsia="Arial" w:hAnsi="Arial"/>
          <w:sz w:val="29"/>
          <w:szCs w:val="29"/>
          <w:color w:val="auto"/>
        </w:rPr>
        <w:t xml:space="preserve"> “</w:t>
      </w:r>
      <w:r>
        <w:rPr>
          <w:rFonts w:ascii="宋体" w:cs="宋体" w:eastAsia="宋体" w:hAnsi="宋体"/>
          <w:sz w:val="29"/>
          <w:szCs w:val="29"/>
          <w:color w:val="auto"/>
        </w:rPr>
        <w:t>财承红线</w:t>
      </w:r>
      <w:r>
        <w:rPr>
          <w:rFonts w:ascii="Arial" w:cs="Arial" w:eastAsia="Arial" w:hAnsi="Arial"/>
          <w:sz w:val="29"/>
          <w:szCs w:val="29"/>
          <w:color w:val="auto"/>
        </w:rPr>
        <w:t>”</w:t>
      </w:r>
      <w:r>
        <w:rPr>
          <w:rFonts w:ascii="宋体" w:cs="宋体" w:eastAsia="宋体" w:hAnsi="宋体"/>
          <w:sz w:val="29"/>
          <w:szCs w:val="29"/>
          <w:color w:val="auto"/>
        </w:rPr>
        <w:t>约束</w:t>
      </w:r>
      <w:r>
        <w:rPr>
          <w:rFonts w:ascii="Arial" w:cs="Arial" w:eastAsia="Arial" w:hAnsi="Arial"/>
          <w:sz w:val="29"/>
          <w:szCs w:val="29"/>
          <w:color w:val="auto"/>
        </w:rPr>
        <w:t>,</w:t>
      </w:r>
      <w:r>
        <w:rPr>
          <w:rFonts w:ascii="宋体" w:cs="宋体" w:eastAsia="宋体" w:hAnsi="宋体"/>
          <w:sz w:val="29"/>
          <w:szCs w:val="29"/>
          <w:color w:val="auto"/>
        </w:rPr>
        <w:t>但财务测算结果明显有违常理、显著缺乏投资可行性的</w:t>
      </w:r>
      <w:r>
        <w:rPr>
          <w:rFonts w:ascii="Arial" w:cs="Arial" w:eastAsia="Arial" w:hAnsi="Arial"/>
          <w:sz w:val="29"/>
          <w:szCs w:val="29"/>
          <w:color w:val="auto"/>
        </w:rPr>
        <w:t>;</w:t>
      </w:r>
    </w:p>
    <w:p>
      <w:pPr>
        <w:jc w:val="both"/>
        <w:ind w:left="100" w:right="106" w:firstLine="552"/>
        <w:spacing w:after="0" w:line="586" w:lineRule="exact"/>
        <w:tabs>
          <w:tab w:leader="none" w:pos="1121" w:val="left"/>
        </w:tabs>
        <w:numPr>
          <w:ilvl w:val="0"/>
          <w:numId w:val="13"/>
        </w:numPr>
        <w:rPr>
          <w:rFonts w:ascii="Arial" w:cs="Arial" w:eastAsia="Arial" w:hAnsi="Arial"/>
          <w:sz w:val="29"/>
          <w:szCs w:val="29"/>
          <w:color w:val="auto"/>
        </w:rPr>
      </w:pPr>
      <w:r>
        <w:rPr>
          <w:rFonts w:ascii="宋体" w:cs="宋体" w:eastAsia="宋体" w:hAnsi="宋体"/>
          <w:sz w:val="29"/>
          <w:szCs w:val="29"/>
          <w:color w:val="auto"/>
        </w:rPr>
        <w:t>由不同的项目政府承担同一项目的政府支出责任</w:t>
      </w:r>
      <w:r>
        <w:rPr>
          <w:rFonts w:ascii="Arial" w:cs="Arial" w:eastAsia="Arial" w:hAnsi="Arial"/>
          <w:sz w:val="29"/>
          <w:szCs w:val="29"/>
          <w:color w:val="auto"/>
        </w:rPr>
        <w:t>,</w:t>
      </w:r>
      <w:r>
        <w:rPr>
          <w:rFonts w:ascii="宋体" w:cs="宋体" w:eastAsia="宋体" w:hAnsi="宋体"/>
          <w:sz w:val="29"/>
          <w:szCs w:val="29"/>
          <w:color w:val="auto"/>
        </w:rPr>
        <w:t>但缺乏相关项目政府财政部门的共同论证证明、或缺乏有关项目政府财政部门的委托论证及财承分割手续的</w:t>
      </w:r>
      <w:r>
        <w:rPr>
          <w:rFonts w:ascii="Arial" w:cs="Arial" w:eastAsia="Arial" w:hAnsi="Arial"/>
          <w:sz w:val="29"/>
          <w:szCs w:val="29"/>
          <w:color w:val="auto"/>
        </w:rPr>
        <w:t>;</w:t>
      </w:r>
      <w:r>
        <w:rPr>
          <w:rFonts w:ascii="宋体" w:cs="宋体" w:eastAsia="宋体" w:hAnsi="宋体"/>
          <w:sz w:val="29"/>
          <w:szCs w:val="29"/>
          <w:color w:val="auto"/>
        </w:rPr>
        <w:t>同一项目所涉及市县在测算财承时未全部将此项目包含在内的</w:t>
      </w:r>
      <w:r>
        <w:rPr>
          <w:rFonts w:ascii="Arial" w:cs="Arial" w:eastAsia="Arial" w:hAnsi="Arial"/>
          <w:sz w:val="29"/>
          <w:szCs w:val="29"/>
          <w:color w:val="auto"/>
        </w:rPr>
        <w:t>;</w:t>
      </w:r>
    </w:p>
    <w:p>
      <w:pPr>
        <w:spacing w:after="0" w:line="3" w:lineRule="exact"/>
        <w:rPr>
          <w:rFonts w:ascii="Arial" w:cs="Arial" w:eastAsia="Arial" w:hAnsi="Arial"/>
          <w:sz w:val="29"/>
          <w:szCs w:val="29"/>
          <w:color w:val="auto"/>
        </w:rPr>
      </w:pPr>
    </w:p>
    <w:p>
      <w:pPr>
        <w:ind w:left="100" w:right="106" w:firstLine="552"/>
        <w:spacing w:after="0" w:line="586" w:lineRule="exact"/>
        <w:tabs>
          <w:tab w:leader="none" w:pos="1278" w:val="left"/>
        </w:tabs>
        <w:numPr>
          <w:ilvl w:val="0"/>
          <w:numId w:val="13"/>
        </w:numPr>
        <w:rPr>
          <w:rFonts w:ascii="Arial" w:cs="Arial" w:eastAsia="Arial" w:hAnsi="Arial"/>
          <w:sz w:val="29"/>
          <w:szCs w:val="29"/>
          <w:color w:val="auto"/>
        </w:rPr>
      </w:pPr>
      <w:r>
        <w:rPr>
          <w:rFonts w:ascii="宋体" w:cs="宋体" w:eastAsia="宋体" w:hAnsi="宋体"/>
          <w:sz w:val="29"/>
          <w:szCs w:val="29"/>
          <w:color w:val="auto"/>
        </w:rPr>
        <w:t>所在地区财政承受能力超</w:t>
      </w:r>
      <w:r>
        <w:rPr>
          <w:rFonts w:ascii="Arial" w:cs="Arial" w:eastAsia="Arial" w:hAnsi="Arial"/>
          <w:sz w:val="29"/>
          <w:szCs w:val="29"/>
          <w:color w:val="auto"/>
        </w:rPr>
        <w:t>10%</w:t>
      </w:r>
      <w:r>
        <w:rPr>
          <w:rFonts w:ascii="宋体" w:cs="宋体" w:eastAsia="宋体" w:hAnsi="宋体"/>
          <w:sz w:val="29"/>
          <w:szCs w:val="29"/>
          <w:color w:val="auto"/>
        </w:rPr>
        <w:t>红线以及为躲避</w:t>
      </w:r>
      <w:r>
        <w:rPr>
          <w:rFonts w:ascii="Arial" w:cs="Arial" w:eastAsia="Arial" w:hAnsi="Arial"/>
          <w:sz w:val="29"/>
          <w:szCs w:val="29"/>
          <w:color w:val="auto"/>
        </w:rPr>
        <w:t>10%</w:t>
      </w:r>
      <w:r>
        <w:rPr>
          <w:rFonts w:ascii="宋体" w:cs="宋体" w:eastAsia="宋体" w:hAnsi="宋体"/>
          <w:sz w:val="29"/>
          <w:szCs w:val="29"/>
          <w:color w:val="auto"/>
        </w:rPr>
        <w:t>红线而人为调整财承报告数据的</w:t>
      </w:r>
      <w:r>
        <w:rPr>
          <w:rFonts w:ascii="Arial" w:cs="Arial" w:eastAsia="Arial" w:hAnsi="Arial"/>
          <w:sz w:val="29"/>
          <w:szCs w:val="29"/>
          <w:color w:val="auto"/>
        </w:rPr>
        <w:t>;</w:t>
      </w:r>
    </w:p>
    <w:p>
      <w:pPr>
        <w:jc w:val="both"/>
        <w:ind w:left="100" w:right="106" w:firstLine="552"/>
        <w:spacing w:after="0" w:line="597" w:lineRule="exact"/>
        <w:tabs>
          <w:tab w:leader="none" w:pos="1278" w:val="left"/>
        </w:tabs>
        <w:numPr>
          <w:ilvl w:val="0"/>
          <w:numId w:val="13"/>
        </w:numPr>
        <w:rPr>
          <w:rFonts w:ascii="Arial" w:cs="Arial" w:eastAsia="Arial" w:hAnsi="Arial"/>
          <w:sz w:val="29"/>
          <w:szCs w:val="29"/>
          <w:color w:val="auto"/>
        </w:rPr>
      </w:pPr>
      <w:r>
        <w:rPr>
          <w:rFonts w:ascii="宋体" w:cs="宋体" w:eastAsia="宋体" w:hAnsi="宋体"/>
          <w:sz w:val="29"/>
          <w:szCs w:val="29"/>
          <w:color w:val="auto"/>
        </w:rPr>
        <w:t>本级财政部门</w:t>
      </w:r>
      <w:r>
        <w:rPr>
          <w:rFonts w:ascii="Arial" w:cs="Arial" w:eastAsia="Arial" w:hAnsi="Arial"/>
          <w:sz w:val="29"/>
          <w:szCs w:val="29"/>
          <w:color w:val="auto"/>
        </w:rPr>
        <w:t xml:space="preserve"> (PPP</w:t>
      </w:r>
      <w:r>
        <w:rPr>
          <w:rFonts w:ascii="宋体" w:cs="宋体" w:eastAsia="宋体" w:hAnsi="宋体"/>
          <w:sz w:val="29"/>
          <w:szCs w:val="29"/>
          <w:color w:val="auto"/>
        </w:rPr>
        <w:t>中心</w:t>
      </w:r>
      <w:r>
        <w:rPr>
          <w:rFonts w:ascii="Arial" w:cs="Arial" w:eastAsia="Arial" w:hAnsi="Arial"/>
          <w:sz w:val="29"/>
          <w:szCs w:val="29"/>
          <w:color w:val="auto"/>
        </w:rPr>
        <w:t>)</w:t>
      </w:r>
      <w:r>
        <w:rPr>
          <w:rFonts w:ascii="宋体" w:cs="宋体" w:eastAsia="宋体" w:hAnsi="宋体"/>
          <w:sz w:val="29"/>
          <w:szCs w:val="29"/>
          <w:color w:val="auto"/>
        </w:rPr>
        <w:t>、项目实施机构工作人员作为专家参与本级</w:t>
      </w:r>
      <w:r>
        <w:rPr>
          <w:rFonts w:ascii="Arial" w:cs="Arial" w:eastAsia="Arial" w:hAnsi="Arial"/>
          <w:sz w:val="29"/>
          <w:szCs w:val="29"/>
          <w:color w:val="auto"/>
        </w:rPr>
        <w:t>PPP</w:t>
      </w:r>
      <w:r>
        <w:rPr>
          <w:rFonts w:ascii="宋体" w:cs="宋体" w:eastAsia="宋体" w:hAnsi="宋体"/>
          <w:sz w:val="29"/>
          <w:szCs w:val="29"/>
          <w:color w:val="auto"/>
        </w:rPr>
        <w:t>项目论证及验证的。不鼓励前述人员作为专家参与所辖区域</w:t>
      </w:r>
      <w:r>
        <w:rPr>
          <w:rFonts w:ascii="Arial" w:cs="Arial" w:eastAsia="Arial" w:hAnsi="Arial"/>
          <w:sz w:val="29"/>
          <w:szCs w:val="29"/>
          <w:color w:val="auto"/>
        </w:rPr>
        <w:t>PPP</w:t>
      </w:r>
      <w:r>
        <w:rPr>
          <w:rFonts w:ascii="宋体" w:cs="宋体" w:eastAsia="宋体" w:hAnsi="宋体"/>
          <w:sz w:val="29"/>
          <w:szCs w:val="29"/>
          <w:color w:val="auto"/>
        </w:rPr>
        <w:t>项目的评审</w:t>
      </w:r>
      <w:r>
        <w:rPr>
          <w:rFonts w:ascii="Arial" w:cs="Arial" w:eastAsia="Arial" w:hAnsi="Arial"/>
          <w:sz w:val="29"/>
          <w:szCs w:val="29"/>
          <w:color w:val="auto"/>
        </w:rPr>
        <w:t>;</w:t>
      </w:r>
    </w:p>
    <w:p>
      <w:pPr>
        <w:spacing w:after="0" w:line="3" w:lineRule="exact"/>
        <w:rPr>
          <w:rFonts w:ascii="Arial" w:cs="Arial" w:eastAsia="Arial" w:hAnsi="Arial"/>
          <w:sz w:val="29"/>
          <w:szCs w:val="29"/>
          <w:color w:val="auto"/>
        </w:rPr>
      </w:pPr>
    </w:p>
    <w:p>
      <w:pPr>
        <w:jc w:val="both"/>
        <w:ind w:left="100" w:right="66" w:firstLine="552"/>
        <w:spacing w:after="0" w:line="586" w:lineRule="exact"/>
        <w:tabs>
          <w:tab w:leader="none" w:pos="1276" w:val="left"/>
        </w:tabs>
        <w:numPr>
          <w:ilvl w:val="0"/>
          <w:numId w:val="13"/>
        </w:numPr>
        <w:rPr>
          <w:rFonts w:ascii="Arial" w:cs="Arial" w:eastAsia="Arial" w:hAnsi="Arial"/>
          <w:sz w:val="29"/>
          <w:szCs w:val="29"/>
          <w:color w:val="auto"/>
        </w:rPr>
      </w:pPr>
      <w:r>
        <w:rPr>
          <w:rFonts w:ascii="宋体" w:cs="宋体" w:eastAsia="宋体" w:hAnsi="宋体"/>
          <w:sz w:val="29"/>
          <w:szCs w:val="29"/>
          <w:color w:val="auto"/>
        </w:rPr>
        <w:t>回报机制为政府付费类项目</w:t>
      </w:r>
      <w:r>
        <w:rPr>
          <w:rFonts w:ascii="Arial" w:cs="Arial" w:eastAsia="Arial" w:hAnsi="Arial"/>
          <w:sz w:val="29"/>
          <w:szCs w:val="29"/>
          <w:color w:val="auto"/>
        </w:rPr>
        <w:t>,</w:t>
      </w:r>
      <w:r>
        <w:rPr>
          <w:rFonts w:ascii="宋体" w:cs="宋体" w:eastAsia="宋体" w:hAnsi="宋体"/>
          <w:sz w:val="29"/>
          <w:szCs w:val="29"/>
          <w:color w:val="auto"/>
        </w:rPr>
        <w:t>财政支出责任累计占比超过</w:t>
      </w:r>
      <w:r>
        <w:rPr>
          <w:rFonts w:ascii="Arial" w:cs="Arial" w:eastAsia="Arial" w:hAnsi="Arial"/>
          <w:sz w:val="29"/>
          <w:szCs w:val="29"/>
          <w:color w:val="auto"/>
        </w:rPr>
        <w:t>5%</w:t>
      </w:r>
      <w:r>
        <w:rPr>
          <w:rFonts w:ascii="宋体" w:cs="宋体" w:eastAsia="宋体" w:hAnsi="宋体"/>
          <w:sz w:val="29"/>
          <w:szCs w:val="29"/>
          <w:color w:val="auto"/>
        </w:rPr>
        <w:t>的</w:t>
      </w:r>
      <w:r>
        <w:rPr>
          <w:rFonts w:ascii="Arial" w:cs="Arial" w:eastAsia="Arial" w:hAnsi="Arial"/>
          <w:sz w:val="29"/>
          <w:szCs w:val="29"/>
          <w:color w:val="auto"/>
        </w:rPr>
        <w:t xml:space="preserve"> (</w:t>
      </w:r>
      <w:r>
        <w:rPr>
          <w:rFonts w:ascii="宋体" w:cs="宋体" w:eastAsia="宋体" w:hAnsi="宋体"/>
          <w:sz w:val="29"/>
          <w:szCs w:val="29"/>
          <w:color w:val="auto"/>
        </w:rPr>
        <w:t>依照收支两条线管理的污水和垃圾处理类项目除外</w:t>
      </w:r>
      <w:r>
        <w:rPr>
          <w:rFonts w:ascii="Arial" w:cs="Arial" w:eastAsia="Arial" w:hAnsi="Arial"/>
          <w:sz w:val="29"/>
          <w:szCs w:val="29"/>
          <w:color w:val="auto"/>
        </w:rPr>
        <w:t>);</w:t>
      </w:r>
    </w:p>
    <w:p>
      <w:pPr>
        <w:ind w:left="1280" w:hanging="628"/>
        <w:spacing w:after="0" w:line="352" w:lineRule="exact"/>
        <w:tabs>
          <w:tab w:leader="none" w:pos="1280" w:val="left"/>
        </w:tabs>
        <w:numPr>
          <w:ilvl w:val="0"/>
          <w:numId w:val="13"/>
        </w:numPr>
        <w:rPr>
          <w:rFonts w:ascii="Arial" w:cs="Arial" w:eastAsia="Arial" w:hAnsi="Arial"/>
          <w:sz w:val="29"/>
          <w:szCs w:val="29"/>
          <w:color w:val="auto"/>
        </w:rPr>
      </w:pPr>
      <w:r>
        <w:rPr>
          <w:rFonts w:ascii="宋体" w:cs="宋体" w:eastAsia="宋体" w:hAnsi="宋体"/>
          <w:sz w:val="29"/>
          <w:szCs w:val="29"/>
          <w:color w:val="auto"/>
        </w:rPr>
        <w:t>回报机制为可行性缺口补助类项目</w:t>
      </w:r>
      <w:r>
        <w:rPr>
          <w:rFonts w:ascii="Arial" w:cs="Arial" w:eastAsia="Arial" w:hAnsi="Arial"/>
          <w:sz w:val="29"/>
          <w:szCs w:val="29"/>
          <w:color w:val="auto"/>
        </w:rPr>
        <w:t>,</w:t>
      </w:r>
      <w:r>
        <w:rPr>
          <w:rFonts w:ascii="宋体" w:cs="宋体" w:eastAsia="宋体" w:hAnsi="宋体"/>
          <w:sz w:val="29"/>
          <w:szCs w:val="29"/>
          <w:color w:val="auto"/>
        </w:rPr>
        <w:t>使用者付费比例低</w:t>
      </w:r>
    </w:p>
    <w:p>
      <w:pPr>
        <w:spacing w:after="0" w:line="140" w:lineRule="exact"/>
        <w:rPr>
          <w:sz w:val="20"/>
          <w:szCs w:val="20"/>
          <w:color w:val="auto"/>
        </w:rPr>
      </w:pPr>
    </w:p>
    <w:p>
      <w:pPr>
        <w:ind w:left="100" w:right="106"/>
        <w:spacing w:after="0" w:line="618" w:lineRule="exact"/>
        <w:rPr>
          <w:sz w:val="20"/>
          <w:szCs w:val="20"/>
          <w:color w:val="auto"/>
        </w:rPr>
      </w:pPr>
      <w:r>
        <w:rPr>
          <w:rFonts w:ascii="宋体" w:cs="宋体" w:eastAsia="宋体" w:hAnsi="宋体"/>
          <w:sz w:val="29"/>
          <w:szCs w:val="29"/>
          <w:color w:val="auto"/>
        </w:rPr>
        <w:t>于</w:t>
      </w:r>
      <w:r>
        <w:rPr>
          <w:rFonts w:ascii="Arial" w:cs="Arial" w:eastAsia="Arial" w:hAnsi="Arial"/>
          <w:sz w:val="29"/>
          <w:szCs w:val="29"/>
          <w:color w:val="auto"/>
        </w:rPr>
        <w:t>10%</w:t>
      </w:r>
      <w:r>
        <w:rPr>
          <w:rFonts w:ascii="宋体" w:cs="宋体" w:eastAsia="宋体" w:hAnsi="宋体"/>
          <w:sz w:val="29"/>
          <w:szCs w:val="29"/>
          <w:color w:val="auto"/>
        </w:rPr>
        <w:t>或虽高于</w:t>
      </w:r>
      <w:r>
        <w:rPr>
          <w:rFonts w:ascii="Arial" w:cs="Arial" w:eastAsia="Arial" w:hAnsi="Arial"/>
          <w:sz w:val="29"/>
          <w:szCs w:val="29"/>
          <w:color w:val="auto"/>
        </w:rPr>
        <w:t>10%</w:t>
      </w:r>
      <w:r>
        <w:rPr>
          <w:rFonts w:ascii="宋体" w:cs="宋体" w:eastAsia="宋体" w:hAnsi="宋体"/>
          <w:sz w:val="29"/>
          <w:szCs w:val="29"/>
          <w:color w:val="auto"/>
        </w:rPr>
        <w:t>但未设置基准收入和基准成本控制性指标的。</w:t>
      </w:r>
    </w:p>
    <w:p>
      <w:pPr>
        <w:spacing w:after="0" w:line="200" w:lineRule="exact"/>
        <w:rPr>
          <w:sz w:val="20"/>
          <w:szCs w:val="20"/>
          <w:color w:val="auto"/>
        </w:rPr>
      </w:pPr>
    </w:p>
    <w:p>
      <w:pPr>
        <w:spacing w:after="0" w:line="200" w:lineRule="exact"/>
        <w:rPr>
          <w:sz w:val="20"/>
          <w:szCs w:val="20"/>
          <w:color w:val="auto"/>
        </w:rPr>
      </w:pPr>
    </w:p>
    <w:p>
      <w:pPr>
        <w:spacing w:after="0" w:line="251" w:lineRule="exact"/>
        <w:rPr>
          <w:sz w:val="20"/>
          <w:szCs w:val="20"/>
          <w:color w:val="auto"/>
        </w:rPr>
      </w:pPr>
    </w:p>
    <w:tbl>
      <w:tblPr>
        <w:tblLayout w:type="fixed"/>
        <w:tblInd w:w="520" w:type="dxa"/>
        <w:tblCellMar>
          <w:top w:w="0" w:type="dxa"/>
          <w:left w:w="0" w:type="dxa"/>
          <w:bottom w:w="0" w:type="dxa"/>
          <w:right w:w="0" w:type="dxa"/>
        </w:tblCellMar>
      </w:tblPr>
      <w:tr>
        <w:trPr>
          <w:trHeight w:val="217"/>
        </w:trPr>
        <w:tc>
          <w:tcPr>
            <w:tcW w:w="1460" w:type="dxa"/>
            <w:vAlign w:val="bottom"/>
            <w:vMerge w:val="restart"/>
          </w:tcPr>
          <w:p>
            <w:pPr>
              <w:spacing w:after="0" w:line="217" w:lineRule="exact"/>
              <w:rPr>
                <w:sz w:val="20"/>
                <w:szCs w:val="20"/>
                <w:color w:val="auto"/>
              </w:rPr>
            </w:pPr>
            <w:r>
              <w:rPr>
                <w:rFonts w:ascii="宋体" w:cs="宋体" w:eastAsia="宋体" w:hAnsi="宋体"/>
                <w:sz w:val="19"/>
                <w:szCs w:val="19"/>
                <w:color w:val="auto"/>
              </w:rPr>
              <w:t>使用者付费比例</w:t>
            </w:r>
          </w:p>
        </w:tc>
        <w:tc>
          <w:tcPr>
            <w:tcW w:w="220" w:type="dxa"/>
            <w:vAlign w:val="bottom"/>
            <w:vMerge w:val="restart"/>
          </w:tcPr>
          <w:p>
            <w:pPr>
              <w:jc w:val="right"/>
              <w:spacing w:after="0"/>
              <w:rPr>
                <w:sz w:val="20"/>
                <w:szCs w:val="20"/>
                <w:color w:val="auto"/>
              </w:rPr>
            </w:pPr>
            <w:r>
              <w:rPr>
                <w:rFonts w:ascii="Arial" w:cs="Arial" w:eastAsia="Arial" w:hAnsi="Arial"/>
                <w:sz w:val="19"/>
                <w:szCs w:val="19"/>
                <w:color w:val="auto"/>
              </w:rPr>
              <w:t>=</w:t>
            </w:r>
          </w:p>
        </w:tc>
        <w:tc>
          <w:tcPr>
            <w:tcW w:w="6700" w:type="dxa"/>
            <w:vAlign w:val="bottom"/>
            <w:tcBorders>
              <w:bottom w:val="single" w:sz="8" w:color="auto"/>
            </w:tcBorders>
            <w:gridSpan w:val="3"/>
          </w:tcPr>
          <w:p>
            <w:pPr>
              <w:ind w:left="1580"/>
              <w:spacing w:after="0" w:line="217" w:lineRule="exact"/>
              <w:rPr>
                <w:sz w:val="20"/>
                <w:szCs w:val="20"/>
                <w:color w:val="auto"/>
              </w:rPr>
            </w:pPr>
            <w:r>
              <w:rPr>
                <w:rFonts w:ascii="宋体" w:cs="宋体" w:eastAsia="宋体" w:hAnsi="宋体"/>
                <w:sz w:val="19"/>
                <w:szCs w:val="19"/>
                <w:color w:val="auto"/>
              </w:rPr>
              <w:t>项目全生命周期使用者付费收入合计数</w:t>
            </w:r>
          </w:p>
        </w:tc>
        <w:tc>
          <w:tcPr>
            <w:tcW w:w="0" w:type="dxa"/>
            <w:vAlign w:val="bottom"/>
          </w:tcPr>
          <w:p>
            <w:pPr>
              <w:spacing w:after="0"/>
              <w:rPr>
                <w:sz w:val="1"/>
                <w:szCs w:val="1"/>
                <w:color w:val="auto"/>
              </w:rPr>
            </w:pPr>
          </w:p>
        </w:tc>
      </w:tr>
      <w:tr>
        <w:trPr>
          <w:trHeight w:val="95"/>
        </w:trPr>
        <w:tc>
          <w:tcPr>
            <w:tcW w:w="1460" w:type="dxa"/>
            <w:vAlign w:val="bottom"/>
            <w:vMerge w:val="continue"/>
          </w:tcPr>
          <w:p>
            <w:pPr>
              <w:spacing w:after="0"/>
              <w:rPr>
                <w:sz w:val="8"/>
                <w:szCs w:val="8"/>
                <w:color w:val="auto"/>
              </w:rPr>
            </w:pPr>
          </w:p>
        </w:tc>
        <w:tc>
          <w:tcPr>
            <w:tcW w:w="220" w:type="dxa"/>
            <w:vAlign w:val="bottom"/>
            <w:vMerge w:val="continue"/>
          </w:tcPr>
          <w:p>
            <w:pPr>
              <w:spacing w:after="0"/>
              <w:rPr>
                <w:sz w:val="8"/>
                <w:szCs w:val="8"/>
                <w:color w:val="auto"/>
              </w:rPr>
            </w:pPr>
          </w:p>
        </w:tc>
        <w:tc>
          <w:tcPr>
            <w:tcW w:w="3560" w:type="dxa"/>
            <w:vAlign w:val="bottom"/>
            <w:vMerge w:val="restart"/>
          </w:tcPr>
          <w:p>
            <w:pPr>
              <w:spacing w:after="0" w:line="217" w:lineRule="exact"/>
              <w:rPr>
                <w:sz w:val="20"/>
                <w:szCs w:val="20"/>
                <w:color w:val="auto"/>
              </w:rPr>
            </w:pPr>
            <w:r>
              <w:rPr>
                <w:rFonts w:ascii="宋体" w:cs="宋体" w:eastAsia="宋体" w:hAnsi="宋体"/>
                <w:sz w:val="19"/>
                <w:szCs w:val="19"/>
                <w:color w:val="auto"/>
              </w:rPr>
              <w:t>项目全生命周期使用者付费收入合计数</w:t>
            </w:r>
          </w:p>
        </w:tc>
        <w:tc>
          <w:tcPr>
            <w:tcW w:w="200" w:type="dxa"/>
            <w:vAlign w:val="bottom"/>
            <w:vMerge w:val="restart"/>
          </w:tcPr>
          <w:p>
            <w:pPr>
              <w:jc w:val="right"/>
              <w:spacing w:after="0" w:line="168" w:lineRule="exact"/>
              <w:rPr>
                <w:sz w:val="20"/>
                <w:szCs w:val="20"/>
                <w:color w:val="auto"/>
              </w:rPr>
            </w:pPr>
            <w:r>
              <w:rPr>
                <w:rFonts w:ascii="Arial" w:cs="Arial" w:eastAsia="Arial" w:hAnsi="Arial"/>
                <w:sz w:val="19"/>
                <w:szCs w:val="19"/>
                <w:color w:val="auto"/>
              </w:rPr>
              <w:t>+</w:t>
            </w:r>
          </w:p>
        </w:tc>
        <w:tc>
          <w:tcPr>
            <w:tcW w:w="2940" w:type="dxa"/>
            <w:vAlign w:val="bottom"/>
            <w:vMerge w:val="restart"/>
          </w:tcPr>
          <w:p>
            <w:pPr>
              <w:ind w:left="20"/>
              <w:spacing w:after="0" w:line="217" w:lineRule="exact"/>
              <w:rPr>
                <w:sz w:val="20"/>
                <w:szCs w:val="20"/>
                <w:color w:val="auto"/>
              </w:rPr>
            </w:pPr>
            <w:r>
              <w:rPr>
                <w:rFonts w:ascii="宋体" w:cs="宋体" w:eastAsia="宋体" w:hAnsi="宋体"/>
                <w:sz w:val="19"/>
                <w:szCs w:val="19"/>
                <w:color w:val="auto"/>
              </w:rPr>
              <w:t>项目全生命周期政府付费合计数</w:t>
            </w:r>
          </w:p>
        </w:tc>
        <w:tc>
          <w:tcPr>
            <w:tcW w:w="0" w:type="dxa"/>
            <w:vAlign w:val="bottom"/>
          </w:tcPr>
          <w:p>
            <w:pPr>
              <w:spacing w:after="0"/>
              <w:rPr>
                <w:sz w:val="1"/>
                <w:szCs w:val="1"/>
                <w:color w:val="auto"/>
              </w:rPr>
            </w:pPr>
          </w:p>
        </w:tc>
      </w:tr>
      <w:tr>
        <w:trPr>
          <w:trHeight w:val="72"/>
        </w:trPr>
        <w:tc>
          <w:tcPr>
            <w:tcW w:w="1460" w:type="dxa"/>
            <w:vAlign w:val="bottom"/>
          </w:tcPr>
          <w:p>
            <w:pPr>
              <w:spacing w:after="0"/>
              <w:rPr>
                <w:sz w:val="6"/>
                <w:szCs w:val="6"/>
                <w:color w:val="auto"/>
              </w:rPr>
            </w:pPr>
          </w:p>
        </w:tc>
        <w:tc>
          <w:tcPr>
            <w:tcW w:w="220" w:type="dxa"/>
            <w:vAlign w:val="bottom"/>
            <w:vMerge w:val="continue"/>
          </w:tcPr>
          <w:p>
            <w:pPr>
              <w:spacing w:after="0"/>
              <w:rPr>
                <w:sz w:val="6"/>
                <w:szCs w:val="6"/>
                <w:color w:val="auto"/>
              </w:rPr>
            </w:pPr>
          </w:p>
        </w:tc>
        <w:tc>
          <w:tcPr>
            <w:tcW w:w="3560" w:type="dxa"/>
            <w:vAlign w:val="bottom"/>
            <w:vMerge w:val="continue"/>
          </w:tcPr>
          <w:p>
            <w:pPr>
              <w:spacing w:after="0"/>
              <w:rPr>
                <w:sz w:val="6"/>
                <w:szCs w:val="6"/>
                <w:color w:val="auto"/>
              </w:rPr>
            </w:pPr>
          </w:p>
        </w:tc>
        <w:tc>
          <w:tcPr>
            <w:tcW w:w="200" w:type="dxa"/>
            <w:vAlign w:val="bottom"/>
            <w:vMerge w:val="continue"/>
          </w:tcPr>
          <w:p>
            <w:pPr>
              <w:spacing w:after="0"/>
              <w:rPr>
                <w:sz w:val="6"/>
                <w:szCs w:val="6"/>
                <w:color w:val="auto"/>
              </w:rPr>
            </w:pPr>
          </w:p>
        </w:tc>
        <w:tc>
          <w:tcPr>
            <w:tcW w:w="2940" w:type="dxa"/>
            <w:vAlign w:val="bottom"/>
            <w:vMerge w:val="continue"/>
          </w:tcPr>
          <w:p>
            <w:pPr>
              <w:spacing w:after="0"/>
              <w:rPr>
                <w:sz w:val="6"/>
                <w:szCs w:val="6"/>
                <w:color w:val="auto"/>
              </w:rPr>
            </w:pPr>
          </w:p>
        </w:tc>
        <w:tc>
          <w:tcPr>
            <w:tcW w:w="0" w:type="dxa"/>
            <w:vAlign w:val="bottom"/>
          </w:tcPr>
          <w:p>
            <w:pPr>
              <w:spacing w:after="0"/>
              <w:rPr>
                <w:sz w:val="1"/>
                <w:szCs w:val="1"/>
                <w:color w:val="auto"/>
              </w:rPr>
            </w:pPr>
          </w:p>
        </w:tc>
      </w:tr>
      <w:tr>
        <w:trPr>
          <w:trHeight w:val="107"/>
        </w:trPr>
        <w:tc>
          <w:tcPr>
            <w:tcW w:w="1460" w:type="dxa"/>
            <w:vAlign w:val="bottom"/>
          </w:tcPr>
          <w:p>
            <w:pPr>
              <w:spacing w:after="0"/>
              <w:rPr>
                <w:sz w:val="9"/>
                <w:szCs w:val="9"/>
                <w:color w:val="auto"/>
              </w:rPr>
            </w:pPr>
          </w:p>
        </w:tc>
        <w:tc>
          <w:tcPr>
            <w:tcW w:w="220" w:type="dxa"/>
            <w:vAlign w:val="bottom"/>
            <w:vMerge w:val="continue"/>
          </w:tcPr>
          <w:p>
            <w:pPr>
              <w:spacing w:after="0"/>
              <w:rPr>
                <w:sz w:val="9"/>
                <w:szCs w:val="9"/>
                <w:color w:val="auto"/>
              </w:rPr>
            </w:pPr>
          </w:p>
        </w:tc>
        <w:tc>
          <w:tcPr>
            <w:tcW w:w="3560" w:type="dxa"/>
            <w:vAlign w:val="bottom"/>
            <w:vMerge w:val="continue"/>
          </w:tcPr>
          <w:p>
            <w:pPr>
              <w:spacing w:after="0"/>
              <w:rPr>
                <w:sz w:val="9"/>
                <w:szCs w:val="9"/>
                <w:color w:val="auto"/>
              </w:rPr>
            </w:pPr>
          </w:p>
        </w:tc>
        <w:tc>
          <w:tcPr>
            <w:tcW w:w="200" w:type="dxa"/>
            <w:vAlign w:val="bottom"/>
          </w:tcPr>
          <w:p>
            <w:pPr>
              <w:spacing w:after="0"/>
              <w:rPr>
                <w:sz w:val="9"/>
                <w:szCs w:val="9"/>
                <w:color w:val="auto"/>
              </w:rPr>
            </w:pPr>
          </w:p>
        </w:tc>
        <w:tc>
          <w:tcPr>
            <w:tcW w:w="2940" w:type="dxa"/>
            <w:vAlign w:val="bottom"/>
            <w:vMerge w:val="continue"/>
          </w:tcPr>
          <w:p>
            <w:pPr>
              <w:spacing w:after="0"/>
              <w:rPr>
                <w:sz w:val="9"/>
                <w:szCs w:val="9"/>
                <w:color w:val="auto"/>
              </w:rPr>
            </w:pPr>
          </w:p>
        </w:tc>
        <w:tc>
          <w:tcPr>
            <w:tcW w:w="0" w:type="dxa"/>
            <w:vAlign w:val="bottom"/>
          </w:tcPr>
          <w:p>
            <w:pPr>
              <w:spacing w:after="0"/>
              <w:rPr>
                <w:sz w:val="1"/>
                <w:szCs w:val="1"/>
                <w:color w:val="auto"/>
              </w:rPr>
            </w:pPr>
          </w:p>
        </w:tc>
      </w:tr>
    </w:tbl>
    <w:p>
      <w:pPr>
        <w:spacing w:after="0" w:line="55" w:lineRule="exact"/>
        <w:rPr>
          <w:sz w:val="20"/>
          <w:szCs w:val="20"/>
          <w:color w:val="auto"/>
        </w:rPr>
      </w:pPr>
    </w:p>
    <w:p>
      <w:pPr>
        <w:ind w:left="720"/>
        <w:spacing w:after="0" w:line="331" w:lineRule="exact"/>
        <w:rPr>
          <w:sz w:val="20"/>
          <w:szCs w:val="20"/>
          <w:color w:val="auto"/>
        </w:rPr>
      </w:pPr>
      <w:r>
        <w:rPr>
          <w:rFonts w:ascii="宋体" w:cs="宋体" w:eastAsia="宋体" w:hAnsi="宋体"/>
          <w:sz w:val="29"/>
          <w:szCs w:val="29"/>
          <w:color w:val="auto"/>
        </w:rPr>
        <w:t>二、采购阶段和执行阶段的核查要点</w:t>
      </w:r>
    </w:p>
    <w:p>
      <w:pPr>
        <w:spacing w:after="0" w:line="200" w:lineRule="exact"/>
        <w:rPr>
          <w:sz w:val="20"/>
          <w:szCs w:val="20"/>
          <w:color w:val="auto"/>
        </w:rPr>
      </w:pPr>
    </w:p>
    <w:p>
      <w:pPr>
        <w:spacing w:after="0" w:line="204" w:lineRule="exact"/>
        <w:rPr>
          <w:sz w:val="20"/>
          <w:szCs w:val="20"/>
          <w:color w:val="auto"/>
        </w:rPr>
      </w:pPr>
    </w:p>
    <w:p>
      <w:pPr>
        <w:ind w:left="720"/>
        <w:spacing w:after="0" w:line="352" w:lineRule="exact"/>
        <w:rPr>
          <w:sz w:val="20"/>
          <w:szCs w:val="20"/>
          <w:color w:val="auto"/>
        </w:rPr>
      </w:pPr>
      <w:r>
        <w:rPr>
          <w:rFonts w:ascii="Arial" w:cs="Arial" w:eastAsia="Arial" w:hAnsi="Arial"/>
          <w:sz w:val="29"/>
          <w:szCs w:val="29"/>
          <w:color w:val="auto"/>
        </w:rPr>
        <w:t>(</w:t>
      </w:r>
      <w:r>
        <w:rPr>
          <w:rFonts w:ascii="宋体" w:cs="宋体" w:eastAsia="宋体" w:hAnsi="宋体"/>
          <w:sz w:val="29"/>
          <w:szCs w:val="29"/>
          <w:color w:val="auto"/>
        </w:rPr>
        <w:t>一</w:t>
      </w:r>
      <w:r>
        <w:rPr>
          <w:rFonts w:ascii="Arial" w:cs="Arial" w:eastAsia="Arial" w:hAnsi="Arial"/>
          <w:sz w:val="29"/>
          <w:szCs w:val="29"/>
          <w:color w:val="auto"/>
        </w:rPr>
        <w:t>)</w:t>
      </w:r>
      <w:r>
        <w:rPr>
          <w:rFonts w:ascii="宋体" w:cs="宋体" w:eastAsia="宋体" w:hAnsi="宋体"/>
          <w:sz w:val="29"/>
          <w:szCs w:val="29"/>
          <w:color w:val="auto"/>
        </w:rPr>
        <w:t>招标采购</w:t>
      </w:r>
    </w:p>
    <w:p>
      <w:pPr>
        <w:spacing w:after="0" w:line="88" w:lineRule="exact"/>
        <w:rPr>
          <w:sz w:val="20"/>
          <w:szCs w:val="20"/>
          <w:color w:val="auto"/>
        </w:rPr>
      </w:pPr>
    </w:p>
    <w:p>
      <w:pPr>
        <w:ind w:left="1120" w:hanging="468"/>
        <w:spacing w:after="0" w:line="352" w:lineRule="exact"/>
        <w:tabs>
          <w:tab w:leader="none" w:pos="1120" w:val="left"/>
        </w:tabs>
        <w:numPr>
          <w:ilvl w:val="0"/>
          <w:numId w:val="14"/>
        </w:numPr>
        <w:rPr>
          <w:rFonts w:ascii="Arial" w:cs="Arial" w:eastAsia="Arial" w:hAnsi="Arial"/>
          <w:sz w:val="29"/>
          <w:szCs w:val="29"/>
          <w:color w:val="auto"/>
        </w:rPr>
      </w:pPr>
      <w:r>
        <w:rPr>
          <w:rFonts w:ascii="宋体" w:cs="宋体" w:eastAsia="宋体" w:hAnsi="宋体"/>
          <w:sz w:val="29"/>
          <w:szCs w:val="29"/>
          <w:color w:val="auto"/>
        </w:rPr>
        <w:t>未经法定程序选择社会资本方、采购方式选择或变更未</w:t>
      </w:r>
    </w:p>
    <w:p>
      <w:pPr>
        <w:sectPr>
          <w:pgSz w:w="11900" w:h="16838" w:orient="portrait"/>
          <w:cols w:equalWidth="0" w:num="1">
            <w:col w:w="9026"/>
          </w:cols>
          <w:pgMar w:left="1440" w:top="1440" w:right="1440" w:bottom="1037" w:gutter="0" w:footer="0" w:header="0"/>
        </w:sectPr>
      </w:pPr>
    </w:p>
    <w:p>
      <w:pPr>
        <w:spacing w:after="0" w:line="251" w:lineRule="exact"/>
        <w:rPr>
          <w:sz w:val="20"/>
          <w:szCs w:val="20"/>
          <w:color w:val="auto"/>
        </w:rPr>
      </w:pPr>
    </w:p>
    <w:p>
      <w:pPr>
        <w:ind w:left="380"/>
        <w:spacing w:after="0"/>
        <w:rPr>
          <w:sz w:val="20"/>
          <w:szCs w:val="20"/>
          <w:color w:val="auto"/>
        </w:rPr>
      </w:pPr>
      <w:r>
        <w:rPr>
          <w:rFonts w:ascii="Arial" w:cs="Arial" w:eastAsia="Arial" w:hAnsi="Arial"/>
          <w:sz w:val="26"/>
          <w:szCs w:val="26"/>
          <w:color w:val="auto"/>
        </w:rPr>
        <w:t>— 6 —</w:t>
      </w:r>
    </w:p>
    <w:p>
      <w:pPr>
        <w:sectPr>
          <w:pgSz w:w="11900" w:h="16838" w:orient="portrait"/>
          <w:cols w:equalWidth="0" w:num="1">
            <w:col w:w="9026"/>
          </w:cols>
          <w:pgMar w:left="1440" w:top="1440" w:right="1440" w:bottom="1037" w:gutter="0" w:footer="0" w:header="0"/>
          <w:type w:val="continuous"/>
        </w:sectPr>
      </w:pPr>
    </w:p>
    <w:bookmarkStart w:id="6" w:name="page7"/>
    <w:bookmarkEnd w:id="6"/>
    <w:p>
      <w:pPr>
        <w:spacing w:after="0" w:line="200" w:lineRule="exact"/>
        <w:rPr>
          <w:sz w:val="20"/>
          <w:szCs w:val="20"/>
          <w:color w:val="auto"/>
        </w:rPr>
      </w:pPr>
    </w:p>
    <w:p>
      <w:pPr>
        <w:spacing w:after="0" w:line="254" w:lineRule="exact"/>
        <w:rPr>
          <w:sz w:val="20"/>
          <w:szCs w:val="20"/>
          <w:color w:val="auto"/>
        </w:rPr>
      </w:pPr>
    </w:p>
    <w:p>
      <w:pPr>
        <w:ind w:left="100"/>
        <w:spacing w:after="0" w:line="352" w:lineRule="exact"/>
        <w:rPr>
          <w:sz w:val="20"/>
          <w:szCs w:val="20"/>
          <w:color w:val="auto"/>
        </w:rPr>
      </w:pPr>
      <w:r>
        <w:rPr>
          <w:rFonts w:ascii="宋体" w:cs="宋体" w:eastAsia="宋体" w:hAnsi="宋体"/>
          <w:sz w:val="29"/>
          <w:szCs w:val="29"/>
          <w:color w:val="auto"/>
        </w:rPr>
        <w:t>履行相关程序的</w:t>
      </w:r>
      <w:r>
        <w:rPr>
          <w:rFonts w:ascii="Arial" w:cs="Arial" w:eastAsia="Arial" w:hAnsi="Arial"/>
          <w:sz w:val="29"/>
          <w:szCs w:val="29"/>
          <w:color w:val="auto"/>
        </w:rPr>
        <w:t>;</w:t>
      </w:r>
    </w:p>
    <w:p>
      <w:pPr>
        <w:spacing w:after="0" w:line="240" w:lineRule="exact"/>
        <w:rPr>
          <w:sz w:val="20"/>
          <w:szCs w:val="20"/>
          <w:color w:val="auto"/>
        </w:rPr>
      </w:pPr>
    </w:p>
    <w:p>
      <w:pPr>
        <w:jc w:val="both"/>
        <w:ind w:left="100" w:right="106" w:firstLine="552"/>
        <w:spacing w:after="0" w:line="903" w:lineRule="exact"/>
        <w:tabs>
          <w:tab w:leader="none" w:pos="1121" w:val="left"/>
        </w:tabs>
        <w:numPr>
          <w:ilvl w:val="0"/>
          <w:numId w:val="15"/>
        </w:numPr>
        <w:rPr>
          <w:rFonts w:ascii="Arial" w:cs="Arial" w:eastAsia="Arial" w:hAnsi="Arial"/>
          <w:sz w:val="29"/>
          <w:szCs w:val="29"/>
          <w:color w:val="auto"/>
        </w:rPr>
      </w:pPr>
      <w:r>
        <w:rPr>
          <w:rFonts w:ascii="宋体" w:cs="宋体" w:eastAsia="宋体" w:hAnsi="宋体"/>
          <w:sz w:val="29"/>
          <w:szCs w:val="29"/>
          <w:color w:val="auto"/>
        </w:rPr>
        <w:t>违规采用单一来源采购方式选择社会资本方的。政府付费类项目采用单一来源采购方式选择社会资本方</w:t>
      </w:r>
      <w:r>
        <w:rPr>
          <w:rFonts w:ascii="Arial" w:cs="Arial" w:eastAsia="Arial" w:hAnsi="Arial"/>
          <w:sz w:val="29"/>
          <w:szCs w:val="29"/>
          <w:color w:val="auto"/>
        </w:rPr>
        <w:t>,</w:t>
      </w:r>
      <w:r>
        <w:rPr>
          <w:rFonts w:ascii="宋体" w:cs="宋体" w:eastAsia="宋体" w:hAnsi="宋体"/>
          <w:sz w:val="29"/>
          <w:szCs w:val="29"/>
          <w:color w:val="auto"/>
        </w:rPr>
        <w:t>未采用规定竞争方式的</w:t>
      </w:r>
      <w:r>
        <w:rPr>
          <w:rFonts w:ascii="Arial" w:cs="Arial" w:eastAsia="Arial" w:hAnsi="Arial"/>
          <w:sz w:val="29"/>
          <w:szCs w:val="29"/>
          <w:color w:val="auto"/>
        </w:rPr>
        <w:t>;</w:t>
      </w:r>
    </w:p>
    <w:p>
      <w:pPr>
        <w:spacing w:after="0" w:line="76" w:lineRule="exact"/>
        <w:rPr>
          <w:rFonts w:ascii="Arial" w:cs="Arial" w:eastAsia="Arial" w:hAnsi="Arial"/>
          <w:sz w:val="29"/>
          <w:szCs w:val="29"/>
          <w:color w:val="auto"/>
        </w:rPr>
      </w:pPr>
    </w:p>
    <w:p>
      <w:pPr>
        <w:ind w:left="1120" w:hanging="468"/>
        <w:spacing w:after="0" w:line="352" w:lineRule="exact"/>
        <w:tabs>
          <w:tab w:leader="none" w:pos="1120" w:val="left"/>
        </w:tabs>
        <w:numPr>
          <w:ilvl w:val="0"/>
          <w:numId w:val="15"/>
        </w:numPr>
        <w:rPr>
          <w:rFonts w:ascii="Arial" w:cs="Arial" w:eastAsia="Arial" w:hAnsi="Arial"/>
          <w:sz w:val="29"/>
          <w:szCs w:val="29"/>
          <w:color w:val="auto"/>
        </w:rPr>
      </w:pPr>
      <w:r>
        <w:rPr>
          <w:rFonts w:ascii="宋体" w:cs="宋体" w:eastAsia="宋体" w:hAnsi="宋体"/>
          <w:sz w:val="29"/>
          <w:szCs w:val="29"/>
          <w:color w:val="auto"/>
        </w:rPr>
        <w:t>未按规定进行资格预审的</w:t>
      </w:r>
      <w:r>
        <w:rPr>
          <w:rFonts w:ascii="Arial" w:cs="Arial" w:eastAsia="Arial" w:hAnsi="Arial"/>
          <w:sz w:val="29"/>
          <w:szCs w:val="29"/>
          <w:color w:val="auto"/>
        </w:rPr>
        <w:t>;</w:t>
      </w:r>
    </w:p>
    <w:p>
      <w:pPr>
        <w:spacing w:after="0" w:line="279" w:lineRule="exact"/>
        <w:rPr>
          <w:rFonts w:ascii="Arial" w:cs="Arial" w:eastAsia="Arial" w:hAnsi="Arial"/>
          <w:sz w:val="29"/>
          <w:szCs w:val="29"/>
          <w:color w:val="auto"/>
        </w:rPr>
      </w:pPr>
    </w:p>
    <w:p>
      <w:pPr>
        <w:ind w:left="100" w:right="106" w:firstLine="552"/>
        <w:spacing w:after="0" w:line="573" w:lineRule="exact"/>
        <w:tabs>
          <w:tab w:leader="none" w:pos="1121" w:val="left"/>
        </w:tabs>
        <w:numPr>
          <w:ilvl w:val="0"/>
          <w:numId w:val="15"/>
        </w:numPr>
        <w:rPr>
          <w:rFonts w:ascii="Arial" w:cs="Arial" w:eastAsia="Arial" w:hAnsi="Arial"/>
          <w:sz w:val="29"/>
          <w:szCs w:val="29"/>
          <w:color w:val="auto"/>
        </w:rPr>
      </w:pPr>
      <w:r>
        <w:rPr>
          <w:rFonts w:ascii="宋体" w:cs="宋体" w:eastAsia="宋体" w:hAnsi="宋体"/>
          <w:sz w:val="29"/>
          <w:szCs w:val="29"/>
          <w:color w:val="auto"/>
        </w:rPr>
        <w:t>采购文件中设置歧视性或不合理的排他性条款</w:t>
      </w:r>
      <w:r>
        <w:rPr>
          <w:rFonts w:ascii="Arial" w:cs="Arial" w:eastAsia="Arial" w:hAnsi="Arial"/>
          <w:sz w:val="29"/>
          <w:szCs w:val="29"/>
          <w:color w:val="auto"/>
        </w:rPr>
        <w:t>,</w:t>
      </w:r>
      <w:r>
        <w:rPr>
          <w:rFonts w:ascii="宋体" w:cs="宋体" w:eastAsia="宋体" w:hAnsi="宋体"/>
          <w:sz w:val="29"/>
          <w:szCs w:val="29"/>
          <w:color w:val="auto"/>
        </w:rPr>
        <w:t>影响采购结果</w:t>
      </w:r>
      <w:r>
        <w:rPr>
          <w:rFonts w:ascii="Arial" w:cs="Arial" w:eastAsia="Arial" w:hAnsi="Arial"/>
          <w:sz w:val="29"/>
          <w:szCs w:val="29"/>
          <w:color w:val="auto"/>
        </w:rPr>
        <w:t>,</w:t>
      </w:r>
      <w:r>
        <w:rPr>
          <w:rFonts w:ascii="宋体" w:cs="宋体" w:eastAsia="宋体" w:hAnsi="宋体"/>
          <w:sz w:val="29"/>
          <w:szCs w:val="29"/>
          <w:color w:val="auto"/>
        </w:rPr>
        <w:t>对采购公平公正造成影响的</w:t>
      </w:r>
      <w:r>
        <w:rPr>
          <w:rFonts w:ascii="Arial" w:cs="Arial" w:eastAsia="Arial" w:hAnsi="Arial"/>
          <w:sz w:val="29"/>
          <w:szCs w:val="29"/>
          <w:color w:val="auto"/>
        </w:rPr>
        <w:t>;</w:t>
      </w:r>
    </w:p>
    <w:p>
      <w:pPr>
        <w:spacing w:after="0" w:line="1" w:lineRule="exact"/>
        <w:rPr>
          <w:rFonts w:ascii="Arial" w:cs="Arial" w:eastAsia="Arial" w:hAnsi="Arial"/>
          <w:sz w:val="29"/>
          <w:szCs w:val="29"/>
          <w:color w:val="auto"/>
        </w:rPr>
      </w:pPr>
    </w:p>
    <w:p>
      <w:pPr>
        <w:ind w:left="100" w:right="106" w:firstLine="552"/>
        <w:spacing w:after="0" w:line="592" w:lineRule="exact"/>
        <w:tabs>
          <w:tab w:leader="none" w:pos="1121" w:val="left"/>
        </w:tabs>
        <w:numPr>
          <w:ilvl w:val="0"/>
          <w:numId w:val="15"/>
        </w:numPr>
        <w:rPr>
          <w:rFonts w:ascii="Arial" w:cs="Arial" w:eastAsia="Arial" w:hAnsi="Arial"/>
          <w:sz w:val="29"/>
          <w:szCs w:val="29"/>
          <w:color w:val="auto"/>
        </w:rPr>
      </w:pPr>
      <w:r>
        <w:rPr>
          <w:rFonts w:ascii="宋体" w:cs="宋体" w:eastAsia="宋体" w:hAnsi="宋体"/>
          <w:sz w:val="29"/>
          <w:szCs w:val="29"/>
          <w:color w:val="auto"/>
        </w:rPr>
        <w:t>允许联合体参与采购但未对联合体成员参股</w:t>
      </w:r>
      <w:r>
        <w:rPr>
          <w:rFonts w:ascii="Arial" w:cs="Arial" w:eastAsia="Arial" w:hAnsi="Arial"/>
          <w:sz w:val="29"/>
          <w:szCs w:val="29"/>
          <w:color w:val="auto"/>
        </w:rPr>
        <w:t>PPP</w:t>
      </w:r>
      <w:r>
        <w:rPr>
          <w:rFonts w:ascii="宋体" w:cs="宋体" w:eastAsia="宋体" w:hAnsi="宋体"/>
          <w:sz w:val="29"/>
          <w:szCs w:val="29"/>
          <w:color w:val="auto"/>
        </w:rPr>
        <w:t>项目公司提出明确要求的</w:t>
      </w:r>
      <w:r>
        <w:rPr>
          <w:rFonts w:ascii="Arial" w:cs="Arial" w:eastAsia="Arial" w:hAnsi="Arial"/>
          <w:sz w:val="29"/>
          <w:szCs w:val="29"/>
          <w:color w:val="auto"/>
        </w:rPr>
        <w:t>;</w:t>
      </w:r>
    </w:p>
    <w:p>
      <w:pPr>
        <w:ind w:left="1120" w:hanging="468"/>
        <w:spacing w:after="0" w:line="352" w:lineRule="exact"/>
        <w:tabs>
          <w:tab w:leader="none" w:pos="1120" w:val="left"/>
        </w:tabs>
        <w:numPr>
          <w:ilvl w:val="0"/>
          <w:numId w:val="15"/>
        </w:numPr>
        <w:rPr>
          <w:rFonts w:ascii="Arial" w:cs="Arial" w:eastAsia="Arial" w:hAnsi="Arial"/>
          <w:sz w:val="29"/>
          <w:szCs w:val="29"/>
          <w:color w:val="auto"/>
        </w:rPr>
      </w:pPr>
      <w:r>
        <w:rPr>
          <w:rFonts w:ascii="宋体" w:cs="宋体" w:eastAsia="宋体" w:hAnsi="宋体"/>
          <w:sz w:val="29"/>
          <w:szCs w:val="29"/>
          <w:color w:val="auto"/>
        </w:rPr>
        <w:t>本级政府所属的各类融资平台公司、融资平台公司参股</w:t>
      </w:r>
    </w:p>
    <w:p>
      <w:pPr>
        <w:spacing w:after="0" w:line="280" w:lineRule="exact"/>
        <w:rPr>
          <w:sz w:val="20"/>
          <w:szCs w:val="20"/>
          <w:color w:val="auto"/>
        </w:rPr>
      </w:pPr>
    </w:p>
    <w:p>
      <w:pPr>
        <w:ind w:left="100" w:right="106"/>
        <w:spacing w:after="0" w:line="520" w:lineRule="exact"/>
        <w:rPr>
          <w:sz w:val="20"/>
          <w:szCs w:val="20"/>
          <w:color w:val="auto"/>
        </w:rPr>
      </w:pPr>
      <w:r>
        <w:rPr>
          <w:rFonts w:ascii="宋体" w:cs="宋体" w:eastAsia="宋体" w:hAnsi="宋体"/>
          <w:sz w:val="29"/>
          <w:szCs w:val="29"/>
          <w:color w:val="auto"/>
        </w:rPr>
        <w:t>并能对其经营活动构成实质性影响的国有企业作为社会资本参与本级</w:t>
      </w:r>
      <w:r>
        <w:rPr>
          <w:rFonts w:ascii="Arial" w:cs="Arial" w:eastAsia="Arial" w:hAnsi="Arial"/>
          <w:sz w:val="29"/>
          <w:szCs w:val="29"/>
          <w:color w:val="auto"/>
        </w:rPr>
        <w:t>PPP</w:t>
      </w:r>
      <w:r>
        <w:rPr>
          <w:rFonts w:ascii="宋体" w:cs="宋体" w:eastAsia="宋体" w:hAnsi="宋体"/>
          <w:sz w:val="29"/>
          <w:szCs w:val="29"/>
          <w:color w:val="auto"/>
        </w:rPr>
        <w:t>项目的。</w:t>
      </w:r>
    </w:p>
    <w:p>
      <w:pPr>
        <w:spacing w:after="0" w:line="1" w:lineRule="exact"/>
        <w:rPr>
          <w:sz w:val="20"/>
          <w:szCs w:val="20"/>
          <w:color w:val="auto"/>
        </w:rPr>
      </w:pPr>
    </w:p>
    <w:p>
      <w:pPr>
        <w:ind w:left="720"/>
        <w:spacing w:after="0" w:line="352" w:lineRule="exact"/>
        <w:rPr>
          <w:sz w:val="20"/>
          <w:szCs w:val="20"/>
          <w:color w:val="auto"/>
        </w:rPr>
      </w:pPr>
      <w:r>
        <w:rPr>
          <w:rFonts w:ascii="Arial" w:cs="Arial" w:eastAsia="Arial" w:hAnsi="Arial"/>
          <w:sz w:val="29"/>
          <w:szCs w:val="29"/>
          <w:color w:val="auto"/>
        </w:rPr>
        <w:t>(1)</w:t>
      </w:r>
      <w:r>
        <w:rPr>
          <w:rFonts w:ascii="宋体" w:cs="宋体" w:eastAsia="宋体" w:hAnsi="宋体"/>
          <w:sz w:val="29"/>
          <w:szCs w:val="29"/>
          <w:color w:val="auto"/>
        </w:rPr>
        <w:t>实质性影响的认定标准</w:t>
      </w:r>
      <w:r>
        <w:rPr>
          <w:rFonts w:ascii="Arial" w:cs="Arial" w:eastAsia="Arial" w:hAnsi="Arial"/>
          <w:sz w:val="29"/>
          <w:szCs w:val="29"/>
          <w:color w:val="auto"/>
        </w:rPr>
        <w:t xml:space="preserve"> (</w:t>
      </w:r>
      <w:r>
        <w:rPr>
          <w:rFonts w:ascii="宋体" w:cs="宋体" w:eastAsia="宋体" w:hAnsi="宋体"/>
          <w:sz w:val="29"/>
          <w:szCs w:val="29"/>
          <w:color w:val="auto"/>
        </w:rPr>
        <w:t>满足任意情形之一</w:t>
      </w:r>
      <w:r>
        <w:rPr>
          <w:rFonts w:ascii="Arial" w:cs="Arial" w:eastAsia="Arial" w:hAnsi="Arial"/>
          <w:sz w:val="29"/>
          <w:szCs w:val="29"/>
          <w:color w:val="auto"/>
        </w:rPr>
        <w:t>):</w:t>
      </w:r>
    </w:p>
    <w:p>
      <w:pPr>
        <w:spacing w:after="0" w:line="240" w:lineRule="exact"/>
        <w:rPr>
          <w:sz w:val="20"/>
          <w:szCs w:val="20"/>
          <w:color w:val="auto"/>
        </w:rPr>
      </w:pPr>
    </w:p>
    <w:p>
      <w:pPr>
        <w:ind w:left="720"/>
        <w:spacing w:after="0" w:line="352" w:lineRule="exact"/>
        <w:rPr>
          <w:sz w:val="20"/>
          <w:szCs w:val="20"/>
          <w:color w:val="auto"/>
        </w:rPr>
      </w:pPr>
      <w:r>
        <w:rPr>
          <w:rFonts w:ascii="MS PGothic" w:cs="MS PGothic" w:eastAsia="MS PGothic" w:hAnsi="MS PGothic"/>
          <w:sz w:val="29"/>
          <w:szCs w:val="29"/>
          <w:color w:val="auto"/>
        </w:rPr>
        <w:t>①</w:t>
      </w:r>
      <w:r>
        <w:rPr>
          <w:rFonts w:ascii="宋体" w:cs="宋体" w:eastAsia="宋体" w:hAnsi="宋体"/>
          <w:sz w:val="29"/>
          <w:szCs w:val="29"/>
          <w:color w:val="auto"/>
        </w:rPr>
        <w:t>影响重大事项决策</w:t>
      </w:r>
      <w:r>
        <w:rPr>
          <w:rFonts w:ascii="Arial" w:cs="Arial" w:eastAsia="Arial" w:hAnsi="Arial"/>
          <w:sz w:val="29"/>
          <w:szCs w:val="29"/>
          <w:color w:val="auto"/>
        </w:rPr>
        <w:t>;</w:t>
      </w:r>
    </w:p>
    <w:p>
      <w:pPr>
        <w:spacing w:after="0" w:line="242" w:lineRule="exact"/>
        <w:rPr>
          <w:sz w:val="20"/>
          <w:szCs w:val="20"/>
          <w:color w:val="auto"/>
        </w:rPr>
      </w:pPr>
    </w:p>
    <w:p>
      <w:pPr>
        <w:ind w:left="720"/>
        <w:spacing w:after="0" w:line="352" w:lineRule="exact"/>
        <w:rPr>
          <w:sz w:val="20"/>
          <w:szCs w:val="20"/>
          <w:color w:val="auto"/>
        </w:rPr>
      </w:pPr>
      <w:r>
        <w:rPr>
          <w:rFonts w:ascii="MS PGothic" w:cs="MS PGothic" w:eastAsia="MS PGothic" w:hAnsi="MS PGothic"/>
          <w:sz w:val="29"/>
          <w:szCs w:val="29"/>
          <w:color w:val="auto"/>
        </w:rPr>
        <w:t>②</w:t>
      </w:r>
      <w:r>
        <w:rPr>
          <w:rFonts w:ascii="宋体" w:cs="宋体" w:eastAsia="宋体" w:hAnsi="宋体"/>
          <w:sz w:val="29"/>
          <w:szCs w:val="29"/>
          <w:color w:val="auto"/>
        </w:rPr>
        <w:t>影响重要岗位人事任免</w:t>
      </w:r>
      <w:r>
        <w:rPr>
          <w:rFonts w:ascii="Arial" w:cs="Arial" w:eastAsia="Arial" w:hAnsi="Arial"/>
          <w:sz w:val="29"/>
          <w:szCs w:val="29"/>
          <w:color w:val="auto"/>
        </w:rPr>
        <w:t>;</w:t>
      </w:r>
    </w:p>
    <w:p>
      <w:pPr>
        <w:spacing w:after="0" w:line="240" w:lineRule="exact"/>
        <w:rPr>
          <w:sz w:val="20"/>
          <w:szCs w:val="20"/>
          <w:color w:val="auto"/>
        </w:rPr>
      </w:pPr>
    </w:p>
    <w:p>
      <w:pPr>
        <w:ind w:left="720"/>
        <w:spacing w:after="0" w:line="352" w:lineRule="exact"/>
        <w:rPr>
          <w:sz w:val="20"/>
          <w:szCs w:val="20"/>
          <w:color w:val="auto"/>
        </w:rPr>
      </w:pPr>
      <w:r>
        <w:rPr>
          <w:rFonts w:ascii="MS PGothic" w:cs="MS PGothic" w:eastAsia="MS PGothic" w:hAnsi="MS PGothic"/>
          <w:sz w:val="29"/>
          <w:szCs w:val="29"/>
          <w:color w:val="auto"/>
        </w:rPr>
        <w:t>③</w:t>
      </w:r>
      <w:r>
        <w:rPr>
          <w:rFonts w:ascii="宋体" w:cs="宋体" w:eastAsia="宋体" w:hAnsi="宋体"/>
          <w:sz w:val="29"/>
          <w:szCs w:val="29"/>
          <w:color w:val="auto"/>
        </w:rPr>
        <w:t>影响重要项目安排</w:t>
      </w:r>
      <w:r>
        <w:rPr>
          <w:rFonts w:ascii="Arial" w:cs="Arial" w:eastAsia="Arial" w:hAnsi="Arial"/>
          <w:sz w:val="29"/>
          <w:szCs w:val="29"/>
          <w:color w:val="auto"/>
        </w:rPr>
        <w:t>;</w:t>
      </w:r>
    </w:p>
    <w:p>
      <w:pPr>
        <w:spacing w:after="0" w:line="240" w:lineRule="exact"/>
        <w:rPr>
          <w:sz w:val="20"/>
          <w:szCs w:val="20"/>
          <w:color w:val="auto"/>
        </w:rPr>
      </w:pPr>
    </w:p>
    <w:p>
      <w:pPr>
        <w:ind w:left="720"/>
        <w:spacing w:after="0" w:line="352" w:lineRule="exact"/>
        <w:rPr>
          <w:sz w:val="20"/>
          <w:szCs w:val="20"/>
          <w:color w:val="auto"/>
        </w:rPr>
      </w:pPr>
      <w:r>
        <w:rPr>
          <w:rFonts w:ascii="MS PGothic" w:cs="MS PGothic" w:eastAsia="MS PGothic" w:hAnsi="MS PGothic"/>
          <w:sz w:val="29"/>
          <w:szCs w:val="29"/>
          <w:color w:val="auto"/>
        </w:rPr>
        <w:t>④</w:t>
      </w:r>
      <w:r>
        <w:rPr>
          <w:rFonts w:ascii="宋体" w:cs="宋体" w:eastAsia="宋体" w:hAnsi="宋体"/>
          <w:sz w:val="29"/>
          <w:szCs w:val="29"/>
          <w:color w:val="auto"/>
        </w:rPr>
        <w:t>影响大额资金的使用</w:t>
      </w:r>
      <w:r>
        <w:rPr>
          <w:rFonts w:ascii="Arial" w:cs="Arial" w:eastAsia="Arial" w:hAnsi="Arial"/>
          <w:sz w:val="29"/>
          <w:szCs w:val="29"/>
          <w:color w:val="auto"/>
        </w:rPr>
        <w:t>;</w:t>
      </w:r>
    </w:p>
    <w:p>
      <w:pPr>
        <w:spacing w:after="0" w:line="240" w:lineRule="exact"/>
        <w:rPr>
          <w:sz w:val="20"/>
          <w:szCs w:val="20"/>
          <w:color w:val="auto"/>
        </w:rPr>
      </w:pPr>
    </w:p>
    <w:p>
      <w:pPr>
        <w:ind w:left="100" w:right="106" w:firstLine="629"/>
        <w:spacing w:after="0" w:line="593" w:lineRule="exact"/>
        <w:rPr>
          <w:sz w:val="20"/>
          <w:szCs w:val="20"/>
          <w:color w:val="auto"/>
        </w:rPr>
      </w:pPr>
      <w:r>
        <w:rPr>
          <w:rFonts w:ascii="MS PGothic" w:cs="MS PGothic" w:eastAsia="MS PGothic" w:hAnsi="MS PGothic"/>
          <w:sz w:val="29"/>
          <w:szCs w:val="29"/>
          <w:color w:val="auto"/>
        </w:rPr>
        <w:t>⑤</w:t>
      </w:r>
      <w:r>
        <w:rPr>
          <w:rFonts w:ascii="宋体" w:cs="宋体" w:eastAsia="宋体" w:hAnsi="宋体"/>
          <w:sz w:val="29"/>
          <w:szCs w:val="29"/>
          <w:color w:val="auto"/>
        </w:rPr>
        <w:t>按照实质重于形式原则</w:t>
      </w:r>
      <w:r>
        <w:rPr>
          <w:rFonts w:ascii="Arial" w:cs="Arial" w:eastAsia="Arial" w:hAnsi="Arial"/>
          <w:sz w:val="29"/>
          <w:szCs w:val="29"/>
          <w:color w:val="auto"/>
        </w:rPr>
        <w:t>,</w:t>
      </w:r>
      <w:r>
        <w:rPr>
          <w:rFonts w:ascii="宋体" w:cs="宋体" w:eastAsia="宋体" w:hAnsi="宋体"/>
          <w:sz w:val="29"/>
          <w:szCs w:val="29"/>
          <w:color w:val="auto"/>
        </w:rPr>
        <w:t>存在其他对被投资单位拥有重大影响力的情形。</w:t>
      </w:r>
    </w:p>
    <w:p>
      <w:pPr>
        <w:ind w:left="100" w:right="106" w:firstLine="625"/>
        <w:spacing w:after="0" w:line="592" w:lineRule="exact"/>
        <w:rPr>
          <w:sz w:val="20"/>
          <w:szCs w:val="20"/>
          <w:color w:val="auto"/>
        </w:rPr>
      </w:pPr>
      <w:r>
        <w:rPr>
          <w:rFonts w:ascii="Arial" w:cs="Arial" w:eastAsia="Arial" w:hAnsi="Arial"/>
          <w:sz w:val="29"/>
          <w:szCs w:val="29"/>
          <w:color w:val="auto"/>
        </w:rPr>
        <w:t>(2)</w:t>
      </w:r>
      <w:r>
        <w:rPr>
          <w:rFonts w:ascii="宋体" w:cs="宋体" w:eastAsia="宋体" w:hAnsi="宋体"/>
          <w:sz w:val="29"/>
          <w:szCs w:val="29"/>
          <w:color w:val="auto"/>
        </w:rPr>
        <w:t>国有企业</w:t>
      </w:r>
      <w:r>
        <w:rPr>
          <w:rFonts w:ascii="Arial" w:cs="Arial" w:eastAsia="Arial" w:hAnsi="Arial"/>
          <w:sz w:val="29"/>
          <w:szCs w:val="29"/>
          <w:color w:val="auto"/>
        </w:rPr>
        <w:t xml:space="preserve"> (</w:t>
      </w:r>
      <w:r>
        <w:rPr>
          <w:rFonts w:ascii="宋体" w:cs="宋体" w:eastAsia="宋体" w:hAnsi="宋体"/>
          <w:sz w:val="29"/>
          <w:szCs w:val="29"/>
          <w:color w:val="auto"/>
        </w:rPr>
        <w:t>公司</w:t>
      </w:r>
      <w:r>
        <w:rPr>
          <w:rFonts w:ascii="Arial" w:cs="Arial" w:eastAsia="Arial" w:hAnsi="Arial"/>
          <w:sz w:val="29"/>
          <w:szCs w:val="29"/>
          <w:color w:val="auto"/>
        </w:rPr>
        <w:t>)</w:t>
      </w:r>
      <w:r>
        <w:rPr>
          <w:rFonts w:ascii="宋体" w:cs="宋体" w:eastAsia="宋体" w:hAnsi="宋体"/>
          <w:sz w:val="29"/>
          <w:szCs w:val="29"/>
          <w:color w:val="auto"/>
        </w:rPr>
        <w:t>作为社会资本方参与本级项目应符合以下条件</w:t>
      </w:r>
      <w:r>
        <w:rPr>
          <w:rFonts w:ascii="Arial" w:cs="Arial" w:eastAsia="Arial" w:hAnsi="Arial"/>
          <w:sz w:val="29"/>
          <w:szCs w:val="29"/>
          <w:color w:val="auto"/>
        </w:rPr>
        <w:t>:</w:t>
      </w:r>
    </w:p>
    <w:p>
      <w:pPr>
        <w:spacing w:after="0" w:line="1" w:lineRule="exact"/>
        <w:rPr>
          <w:sz w:val="20"/>
          <w:szCs w:val="20"/>
          <w:color w:val="auto"/>
        </w:rPr>
      </w:pPr>
    </w:p>
    <w:p>
      <w:pPr>
        <w:ind w:left="720"/>
        <w:spacing w:after="0" w:line="352" w:lineRule="exact"/>
        <w:rPr>
          <w:sz w:val="20"/>
          <w:szCs w:val="20"/>
          <w:color w:val="auto"/>
        </w:rPr>
      </w:pPr>
      <w:r>
        <w:rPr>
          <w:rFonts w:ascii="MS PGothic" w:cs="MS PGothic" w:eastAsia="MS PGothic" w:hAnsi="MS PGothic"/>
          <w:sz w:val="29"/>
          <w:szCs w:val="29"/>
          <w:color w:val="auto"/>
        </w:rPr>
        <w:t>①</w:t>
      </w:r>
      <w:r>
        <w:rPr>
          <w:rFonts w:ascii="宋体" w:cs="宋体" w:eastAsia="宋体" w:hAnsi="宋体"/>
          <w:sz w:val="29"/>
          <w:szCs w:val="29"/>
          <w:color w:val="auto"/>
        </w:rPr>
        <w:t>通过当地政府官方平台发布不再承担政府融资职能公告</w:t>
      </w:r>
      <w:r>
        <w:rPr>
          <w:rFonts w:ascii="Arial" w:cs="Arial" w:eastAsia="Arial" w:hAnsi="Arial"/>
          <w:sz w:val="29"/>
          <w:szCs w:val="29"/>
          <w:color w:val="auto"/>
        </w:rPr>
        <w:t>;</w:t>
      </w:r>
    </w:p>
    <w:p>
      <w:pPr>
        <w:sectPr>
          <w:pgSz w:w="11900" w:h="16838" w:orient="portrait"/>
          <w:cols w:equalWidth="0" w:num="1">
            <w:col w:w="9026"/>
          </w:cols>
          <w:pgMar w:left="1440" w:top="1440" w:right="1440" w:bottom="1037" w:gutter="0" w:footer="0" w:header="0"/>
        </w:sectPr>
      </w:pPr>
    </w:p>
    <w:p>
      <w:pPr>
        <w:spacing w:after="0" w:line="255" w:lineRule="exact"/>
        <w:rPr>
          <w:sz w:val="20"/>
          <w:szCs w:val="20"/>
          <w:color w:val="auto"/>
        </w:rPr>
      </w:pPr>
    </w:p>
    <w:p>
      <w:pPr>
        <w:ind w:left="7540"/>
        <w:spacing w:after="0"/>
        <w:rPr>
          <w:sz w:val="20"/>
          <w:szCs w:val="20"/>
          <w:color w:val="auto"/>
        </w:rPr>
      </w:pPr>
      <w:r>
        <w:rPr>
          <w:rFonts w:ascii="Arial" w:cs="Arial" w:eastAsia="Arial" w:hAnsi="Arial"/>
          <w:sz w:val="26"/>
          <w:szCs w:val="26"/>
          <w:color w:val="auto"/>
        </w:rPr>
        <w:t>— 7 —</w:t>
      </w:r>
    </w:p>
    <w:p>
      <w:pPr>
        <w:sectPr>
          <w:pgSz w:w="11900" w:h="16838" w:orient="portrait"/>
          <w:cols w:equalWidth="0" w:num="1">
            <w:col w:w="9026"/>
          </w:cols>
          <w:pgMar w:left="1440" w:top="1440" w:right="1440" w:bottom="1037" w:gutter="0" w:footer="0" w:header="0"/>
          <w:type w:val="continuous"/>
        </w:sectPr>
      </w:pPr>
    </w:p>
    <w:bookmarkStart w:id="7" w:name="page8"/>
    <w:bookmarkEnd w:id="7"/>
    <w:p>
      <w:pPr>
        <w:spacing w:after="0" w:line="200" w:lineRule="exact"/>
        <w:rPr>
          <w:sz w:val="20"/>
          <w:szCs w:val="20"/>
          <w:color w:val="auto"/>
        </w:rPr>
      </w:pPr>
    </w:p>
    <w:p>
      <w:pPr>
        <w:spacing w:after="0" w:line="302" w:lineRule="exact"/>
        <w:rPr>
          <w:sz w:val="20"/>
          <w:szCs w:val="20"/>
          <w:color w:val="auto"/>
        </w:rPr>
      </w:pPr>
    </w:p>
    <w:p>
      <w:pPr>
        <w:jc w:val="both"/>
        <w:ind w:left="100" w:right="160" w:firstLine="629"/>
        <w:spacing w:after="0" w:line="567" w:lineRule="exact"/>
        <w:rPr>
          <w:sz w:val="20"/>
          <w:szCs w:val="20"/>
          <w:color w:val="auto"/>
        </w:rPr>
      </w:pPr>
      <w:r>
        <w:rPr>
          <w:rFonts w:ascii="MS PGothic" w:cs="MS PGothic" w:eastAsia="MS PGothic" w:hAnsi="MS PGothic"/>
          <w:sz w:val="29"/>
          <w:szCs w:val="29"/>
          <w:color w:val="auto"/>
        </w:rPr>
        <w:t>②</w:t>
      </w:r>
      <w:r>
        <w:rPr>
          <w:rFonts w:ascii="宋体" w:cs="宋体" w:eastAsia="宋体" w:hAnsi="宋体"/>
          <w:sz w:val="29"/>
          <w:szCs w:val="29"/>
          <w:color w:val="auto"/>
        </w:rPr>
        <w:t>公司承担的政府债务已纳入财政预算并全部得到妥善处置</w:t>
      </w:r>
      <w:r>
        <w:rPr>
          <w:rFonts w:ascii="Arial" w:cs="Arial" w:eastAsia="Arial" w:hAnsi="Arial"/>
          <w:sz w:val="29"/>
          <w:szCs w:val="29"/>
          <w:color w:val="auto"/>
        </w:rPr>
        <w:t>;</w:t>
      </w:r>
    </w:p>
    <w:p>
      <w:pPr>
        <w:spacing w:after="0" w:line="200" w:lineRule="exact"/>
        <w:rPr>
          <w:sz w:val="20"/>
          <w:szCs w:val="20"/>
          <w:color w:val="auto"/>
        </w:rPr>
      </w:pPr>
    </w:p>
    <w:p>
      <w:pPr>
        <w:spacing w:after="0" w:line="369" w:lineRule="exact"/>
        <w:rPr>
          <w:sz w:val="20"/>
          <w:szCs w:val="20"/>
          <w:color w:val="auto"/>
        </w:rPr>
      </w:pPr>
    </w:p>
    <w:p>
      <w:pPr>
        <w:ind w:left="720"/>
        <w:spacing w:after="0" w:line="352" w:lineRule="exact"/>
        <w:rPr>
          <w:sz w:val="20"/>
          <w:szCs w:val="20"/>
          <w:color w:val="auto"/>
        </w:rPr>
      </w:pPr>
      <w:r>
        <w:rPr>
          <w:rFonts w:ascii="MS PGothic" w:cs="MS PGothic" w:eastAsia="MS PGothic" w:hAnsi="MS PGothic"/>
          <w:sz w:val="29"/>
          <w:szCs w:val="29"/>
          <w:color w:val="auto"/>
        </w:rPr>
        <w:t>③</w:t>
      </w:r>
      <w:r>
        <w:rPr>
          <w:rFonts w:ascii="宋体" w:cs="宋体" w:eastAsia="宋体" w:hAnsi="宋体"/>
          <w:sz w:val="29"/>
          <w:szCs w:val="29"/>
          <w:color w:val="auto"/>
        </w:rPr>
        <w:t>正式退出银监会政府融资平台名单</w:t>
      </w:r>
      <w:r>
        <w:rPr>
          <w:rFonts w:ascii="Arial" w:cs="Arial" w:eastAsia="Arial" w:hAnsi="Arial"/>
          <w:sz w:val="29"/>
          <w:szCs w:val="29"/>
          <w:color w:val="auto"/>
        </w:rPr>
        <w:t>;</w:t>
      </w:r>
    </w:p>
    <w:p>
      <w:pPr>
        <w:spacing w:after="0" w:line="240" w:lineRule="exact"/>
        <w:rPr>
          <w:sz w:val="20"/>
          <w:szCs w:val="20"/>
          <w:color w:val="auto"/>
        </w:rPr>
      </w:pPr>
    </w:p>
    <w:p>
      <w:pPr>
        <w:jc w:val="both"/>
        <w:ind w:left="100" w:right="160" w:firstLine="629"/>
        <w:spacing w:after="0" w:line="592" w:lineRule="exact"/>
        <w:rPr>
          <w:sz w:val="20"/>
          <w:szCs w:val="20"/>
          <w:color w:val="auto"/>
        </w:rPr>
      </w:pPr>
      <w:r>
        <w:rPr>
          <w:rFonts w:ascii="MS PGothic" w:cs="MS PGothic" w:eastAsia="MS PGothic" w:hAnsi="MS PGothic"/>
          <w:sz w:val="29"/>
          <w:szCs w:val="29"/>
          <w:color w:val="auto"/>
        </w:rPr>
        <w:t>④</w:t>
      </w:r>
      <w:r>
        <w:rPr>
          <w:rFonts w:ascii="宋体" w:cs="宋体" w:eastAsia="宋体" w:hAnsi="宋体"/>
          <w:sz w:val="29"/>
          <w:szCs w:val="29"/>
          <w:color w:val="auto"/>
        </w:rPr>
        <w:t>通过</w:t>
      </w:r>
      <w:r>
        <w:rPr>
          <w:rFonts w:ascii="Arial" w:cs="Arial" w:eastAsia="Arial" w:hAnsi="Arial"/>
          <w:sz w:val="29"/>
          <w:szCs w:val="29"/>
          <w:color w:val="auto"/>
        </w:rPr>
        <w:t>2018</w:t>
      </w:r>
      <w:r>
        <w:rPr>
          <w:rFonts w:ascii="宋体" w:cs="宋体" w:eastAsia="宋体" w:hAnsi="宋体"/>
          <w:sz w:val="29"/>
          <w:szCs w:val="29"/>
          <w:color w:val="auto"/>
        </w:rPr>
        <w:t>年审计厅债务审计结果核实</w:t>
      </w:r>
      <w:r>
        <w:rPr>
          <w:rFonts w:ascii="Arial" w:cs="Arial" w:eastAsia="Arial" w:hAnsi="Arial"/>
          <w:sz w:val="29"/>
          <w:szCs w:val="29"/>
          <w:color w:val="auto"/>
        </w:rPr>
        <w:t>,</w:t>
      </w:r>
      <w:r>
        <w:rPr>
          <w:rFonts w:ascii="宋体" w:cs="宋体" w:eastAsia="宋体" w:hAnsi="宋体"/>
          <w:sz w:val="29"/>
          <w:szCs w:val="29"/>
          <w:color w:val="auto"/>
        </w:rPr>
        <w:t>不存在政府隐性债务</w:t>
      </w:r>
      <w:r>
        <w:rPr>
          <w:rFonts w:ascii="Arial" w:cs="Arial" w:eastAsia="Arial" w:hAnsi="Arial"/>
          <w:sz w:val="29"/>
          <w:szCs w:val="29"/>
          <w:color w:val="auto"/>
        </w:rPr>
        <w:t>;</w:t>
      </w:r>
    </w:p>
    <w:p>
      <w:pPr>
        <w:spacing w:after="0" w:line="200" w:lineRule="exact"/>
        <w:rPr>
          <w:sz w:val="20"/>
          <w:szCs w:val="20"/>
          <w:color w:val="auto"/>
        </w:rPr>
      </w:pPr>
    </w:p>
    <w:p>
      <w:pPr>
        <w:spacing w:after="0" w:line="394" w:lineRule="exact"/>
        <w:rPr>
          <w:sz w:val="20"/>
          <w:szCs w:val="20"/>
          <w:color w:val="auto"/>
        </w:rPr>
      </w:pPr>
    </w:p>
    <w:p>
      <w:pPr>
        <w:ind w:left="720"/>
        <w:spacing w:after="0" w:line="352" w:lineRule="exact"/>
        <w:rPr>
          <w:sz w:val="20"/>
          <w:szCs w:val="20"/>
          <w:color w:val="auto"/>
        </w:rPr>
      </w:pPr>
      <w:r>
        <w:rPr>
          <w:rFonts w:ascii="MS PGothic" w:cs="MS PGothic" w:eastAsia="MS PGothic" w:hAnsi="MS PGothic"/>
          <w:sz w:val="29"/>
          <w:szCs w:val="29"/>
          <w:color w:val="auto"/>
        </w:rPr>
        <w:t>⑤</w:t>
      </w:r>
      <w:r>
        <w:rPr>
          <w:rFonts w:ascii="宋体" w:cs="宋体" w:eastAsia="宋体" w:hAnsi="宋体"/>
          <w:sz w:val="29"/>
          <w:szCs w:val="29"/>
          <w:color w:val="auto"/>
        </w:rPr>
        <w:t>提交有资质的第三方中介机构出具的专项审计报告</w:t>
      </w:r>
      <w:r>
        <w:rPr>
          <w:rFonts w:ascii="Arial" w:cs="Arial" w:eastAsia="Arial" w:hAnsi="Arial"/>
          <w:sz w:val="29"/>
          <w:szCs w:val="29"/>
          <w:color w:val="auto"/>
        </w:rPr>
        <w:t>;</w:t>
      </w:r>
    </w:p>
    <w:p>
      <w:pPr>
        <w:spacing w:after="0" w:line="240" w:lineRule="exact"/>
        <w:rPr>
          <w:sz w:val="20"/>
          <w:szCs w:val="20"/>
          <w:color w:val="auto"/>
        </w:rPr>
      </w:pPr>
    </w:p>
    <w:p>
      <w:pPr>
        <w:jc w:val="both"/>
        <w:ind w:left="100" w:right="160" w:firstLine="629"/>
        <w:spacing w:after="0" w:line="592" w:lineRule="exact"/>
        <w:rPr>
          <w:sz w:val="20"/>
          <w:szCs w:val="20"/>
          <w:color w:val="auto"/>
        </w:rPr>
      </w:pPr>
      <w:r>
        <w:rPr>
          <w:rFonts w:ascii="MS PGothic" w:cs="MS PGothic" w:eastAsia="MS PGothic" w:hAnsi="MS PGothic"/>
          <w:sz w:val="29"/>
          <w:szCs w:val="29"/>
          <w:color w:val="auto"/>
        </w:rPr>
        <w:t>⑥</w:t>
      </w:r>
      <w:r>
        <w:rPr>
          <w:rFonts w:ascii="宋体" w:cs="宋体" w:eastAsia="宋体" w:hAnsi="宋体"/>
          <w:sz w:val="29"/>
          <w:szCs w:val="29"/>
          <w:color w:val="auto"/>
        </w:rPr>
        <w:t>建立现代企业制度、实现市场化运营</w:t>
      </w:r>
      <w:r>
        <w:rPr>
          <w:rFonts w:ascii="Arial" w:cs="Arial" w:eastAsia="Arial" w:hAnsi="Arial"/>
          <w:sz w:val="29"/>
          <w:szCs w:val="29"/>
          <w:color w:val="auto"/>
        </w:rPr>
        <w:t>,</w:t>
      </w:r>
      <w:r>
        <w:rPr>
          <w:rFonts w:ascii="宋体" w:cs="宋体" w:eastAsia="宋体" w:hAnsi="宋体"/>
          <w:sz w:val="29"/>
          <w:szCs w:val="29"/>
          <w:color w:val="auto"/>
        </w:rPr>
        <w:t>包括企业的正常运营收入来源主要是靠自身经营收益</w:t>
      </w:r>
      <w:r>
        <w:rPr>
          <w:rFonts w:ascii="Arial" w:cs="Arial" w:eastAsia="Arial" w:hAnsi="Arial"/>
          <w:sz w:val="29"/>
          <w:szCs w:val="29"/>
          <w:color w:val="auto"/>
        </w:rPr>
        <w:t>,</w:t>
      </w:r>
      <w:r>
        <w:rPr>
          <w:rFonts w:ascii="宋体" w:cs="宋体" w:eastAsia="宋体" w:hAnsi="宋体"/>
          <w:sz w:val="29"/>
          <w:szCs w:val="29"/>
          <w:color w:val="auto"/>
        </w:rPr>
        <w:t>而不是依靠财政性资金</w:t>
      </w:r>
      <w:r>
        <w:rPr>
          <w:rFonts w:ascii="Arial" w:cs="Arial" w:eastAsia="Arial" w:hAnsi="Arial"/>
          <w:sz w:val="29"/>
          <w:szCs w:val="29"/>
          <w:color w:val="auto"/>
        </w:rPr>
        <w:t>,</w:t>
      </w:r>
      <w:r>
        <w:rPr>
          <w:rFonts w:ascii="宋体" w:cs="宋体" w:eastAsia="宋体" w:hAnsi="宋体"/>
          <w:sz w:val="29"/>
          <w:szCs w:val="29"/>
          <w:color w:val="auto"/>
        </w:rPr>
        <w:t>能够做到</w:t>
      </w:r>
      <w:r>
        <w:rPr>
          <w:rFonts w:ascii="Arial" w:cs="Arial" w:eastAsia="Arial" w:hAnsi="Arial"/>
          <w:sz w:val="29"/>
          <w:szCs w:val="29"/>
          <w:color w:val="auto"/>
        </w:rPr>
        <w:t xml:space="preserve"> “</w:t>
      </w:r>
      <w:r>
        <w:rPr>
          <w:rFonts w:ascii="宋体" w:cs="宋体" w:eastAsia="宋体" w:hAnsi="宋体"/>
          <w:sz w:val="29"/>
          <w:szCs w:val="29"/>
          <w:color w:val="auto"/>
        </w:rPr>
        <w:t>自主经营、自负盈亏、自我发展、自我约束</w:t>
      </w:r>
      <w:r>
        <w:rPr>
          <w:rFonts w:ascii="Arial" w:cs="Arial" w:eastAsia="Arial" w:hAnsi="Arial"/>
          <w:sz w:val="29"/>
          <w:szCs w:val="29"/>
          <w:color w:val="auto"/>
        </w:rPr>
        <w:t>”</w:t>
      </w:r>
      <w:r>
        <w:rPr>
          <w:rFonts w:ascii="宋体" w:cs="宋体" w:eastAsia="宋体" w:hAnsi="宋体"/>
          <w:sz w:val="29"/>
          <w:szCs w:val="29"/>
          <w:color w:val="auto"/>
        </w:rPr>
        <w:t>。</w:t>
      </w:r>
    </w:p>
    <w:p>
      <w:pPr>
        <w:spacing w:after="0" w:line="3" w:lineRule="exact"/>
        <w:rPr>
          <w:sz w:val="20"/>
          <w:szCs w:val="20"/>
          <w:color w:val="auto"/>
        </w:rPr>
      </w:pPr>
    </w:p>
    <w:p>
      <w:pPr>
        <w:ind w:left="720"/>
        <w:spacing w:after="0" w:line="352" w:lineRule="exact"/>
        <w:rPr>
          <w:sz w:val="20"/>
          <w:szCs w:val="20"/>
          <w:color w:val="auto"/>
        </w:rPr>
      </w:pPr>
      <w:r>
        <w:rPr>
          <w:rFonts w:ascii="Arial" w:cs="Arial" w:eastAsia="Arial" w:hAnsi="Arial"/>
          <w:sz w:val="29"/>
          <w:szCs w:val="29"/>
          <w:color w:val="auto"/>
        </w:rPr>
        <w:t>(</w:t>
      </w:r>
      <w:r>
        <w:rPr>
          <w:rFonts w:ascii="宋体" w:cs="宋体" w:eastAsia="宋体" w:hAnsi="宋体"/>
          <w:sz w:val="29"/>
          <w:szCs w:val="29"/>
          <w:color w:val="auto"/>
        </w:rPr>
        <w:t>二</w:t>
      </w:r>
      <w:r>
        <w:rPr>
          <w:rFonts w:ascii="Arial" w:cs="Arial" w:eastAsia="Arial" w:hAnsi="Arial"/>
          <w:sz w:val="29"/>
          <w:szCs w:val="29"/>
          <w:color w:val="auto"/>
        </w:rPr>
        <w:t>)PPP</w:t>
      </w:r>
      <w:r>
        <w:rPr>
          <w:rFonts w:ascii="宋体" w:cs="宋体" w:eastAsia="宋体" w:hAnsi="宋体"/>
          <w:sz w:val="29"/>
          <w:szCs w:val="29"/>
          <w:color w:val="auto"/>
        </w:rPr>
        <w:t>项目合同</w:t>
      </w:r>
    </w:p>
    <w:p>
      <w:pPr>
        <w:spacing w:after="0" w:line="240" w:lineRule="exact"/>
        <w:rPr>
          <w:sz w:val="20"/>
          <w:szCs w:val="20"/>
          <w:color w:val="auto"/>
        </w:rPr>
      </w:pPr>
    </w:p>
    <w:p>
      <w:pPr>
        <w:ind w:left="1120" w:hanging="468"/>
        <w:spacing w:after="0" w:line="352" w:lineRule="exact"/>
        <w:tabs>
          <w:tab w:leader="none" w:pos="1120" w:val="left"/>
        </w:tabs>
        <w:numPr>
          <w:ilvl w:val="0"/>
          <w:numId w:val="16"/>
        </w:numPr>
        <w:rPr>
          <w:rFonts w:ascii="Arial" w:cs="Arial" w:eastAsia="Arial" w:hAnsi="Arial"/>
          <w:sz w:val="29"/>
          <w:szCs w:val="29"/>
          <w:color w:val="auto"/>
        </w:rPr>
      </w:pPr>
      <w:r>
        <w:rPr>
          <w:rFonts w:ascii="宋体" w:cs="宋体" w:eastAsia="宋体" w:hAnsi="宋体"/>
          <w:sz w:val="29"/>
          <w:szCs w:val="29"/>
          <w:color w:val="auto"/>
        </w:rPr>
        <w:t>合同内容与实施方案、采购招标文件核心内容偏差较大</w:t>
      </w:r>
      <w:r>
        <w:rPr>
          <w:rFonts w:ascii="Arial" w:cs="Arial" w:eastAsia="Arial" w:hAnsi="Arial"/>
          <w:sz w:val="29"/>
          <w:szCs w:val="29"/>
          <w:color w:val="auto"/>
        </w:rPr>
        <w:t>;</w:t>
      </w:r>
    </w:p>
    <w:p>
      <w:pPr>
        <w:spacing w:after="0" w:line="383" w:lineRule="exact"/>
        <w:rPr>
          <w:rFonts w:ascii="Arial" w:cs="Arial" w:eastAsia="Arial" w:hAnsi="Arial"/>
          <w:sz w:val="29"/>
          <w:szCs w:val="29"/>
          <w:color w:val="auto"/>
        </w:rPr>
      </w:pPr>
    </w:p>
    <w:p>
      <w:pPr>
        <w:ind w:left="1120" w:hanging="468"/>
        <w:spacing w:after="0" w:line="352" w:lineRule="exact"/>
        <w:tabs>
          <w:tab w:leader="none" w:pos="1120" w:val="left"/>
        </w:tabs>
        <w:numPr>
          <w:ilvl w:val="0"/>
          <w:numId w:val="16"/>
        </w:numPr>
        <w:rPr>
          <w:rFonts w:ascii="Arial" w:cs="Arial" w:eastAsia="Arial" w:hAnsi="Arial"/>
          <w:sz w:val="29"/>
          <w:szCs w:val="29"/>
          <w:color w:val="auto"/>
        </w:rPr>
      </w:pPr>
      <w:r>
        <w:rPr>
          <w:rFonts w:ascii="宋体" w:cs="宋体" w:eastAsia="宋体" w:hAnsi="宋体"/>
          <w:sz w:val="29"/>
          <w:szCs w:val="29"/>
          <w:color w:val="auto"/>
        </w:rPr>
        <w:t>项目进入稳定运营前</w:t>
      </w:r>
      <w:r>
        <w:rPr>
          <w:rFonts w:ascii="Arial" w:cs="Arial" w:eastAsia="Arial" w:hAnsi="Arial"/>
          <w:sz w:val="29"/>
          <w:szCs w:val="29"/>
          <w:color w:val="auto"/>
        </w:rPr>
        <w:t>,</w:t>
      </w:r>
      <w:r>
        <w:rPr>
          <w:rFonts w:ascii="宋体" w:cs="宋体" w:eastAsia="宋体" w:hAnsi="宋体"/>
          <w:sz w:val="29"/>
          <w:szCs w:val="29"/>
          <w:color w:val="auto"/>
        </w:rPr>
        <w:t>未经采购的社会资本进入</w:t>
      </w:r>
      <w:r>
        <w:rPr>
          <w:rFonts w:ascii="Arial" w:cs="Arial" w:eastAsia="Arial" w:hAnsi="Arial"/>
          <w:sz w:val="29"/>
          <w:szCs w:val="29"/>
          <w:color w:val="auto"/>
        </w:rPr>
        <w:t>SPV</w:t>
      </w:r>
      <w:r>
        <w:rPr>
          <w:rFonts w:ascii="宋体" w:cs="宋体" w:eastAsia="宋体" w:hAnsi="宋体"/>
          <w:sz w:val="29"/>
          <w:szCs w:val="29"/>
          <w:color w:val="auto"/>
        </w:rPr>
        <w:t>的</w:t>
      </w:r>
      <w:r>
        <w:rPr>
          <w:rFonts w:ascii="Arial" w:cs="Arial" w:eastAsia="Arial" w:hAnsi="Arial"/>
          <w:sz w:val="29"/>
          <w:szCs w:val="29"/>
          <w:color w:val="auto"/>
        </w:rPr>
        <w:t>,</w:t>
      </w:r>
    </w:p>
    <w:p>
      <w:pPr>
        <w:spacing w:after="0" w:line="98" w:lineRule="exact"/>
        <w:rPr>
          <w:sz w:val="20"/>
          <w:szCs w:val="20"/>
          <w:color w:val="auto"/>
        </w:rPr>
      </w:pPr>
    </w:p>
    <w:p>
      <w:pPr>
        <w:ind w:left="100"/>
        <w:spacing w:after="0" w:line="352" w:lineRule="exact"/>
        <w:rPr>
          <w:sz w:val="20"/>
          <w:szCs w:val="20"/>
          <w:color w:val="auto"/>
        </w:rPr>
      </w:pPr>
      <w:r>
        <w:rPr>
          <w:rFonts w:ascii="宋体" w:cs="宋体" w:eastAsia="宋体" w:hAnsi="宋体"/>
          <w:sz w:val="29"/>
          <w:szCs w:val="29"/>
          <w:color w:val="auto"/>
        </w:rPr>
        <w:t>或经采购社会资本方不进入</w:t>
      </w:r>
      <w:r>
        <w:rPr>
          <w:rFonts w:ascii="Arial" w:cs="Arial" w:eastAsia="Arial" w:hAnsi="Arial"/>
          <w:sz w:val="29"/>
          <w:szCs w:val="29"/>
          <w:color w:val="auto"/>
        </w:rPr>
        <w:t>SPV</w:t>
      </w:r>
      <w:r>
        <w:rPr>
          <w:rFonts w:ascii="宋体" w:cs="宋体" w:eastAsia="宋体" w:hAnsi="宋体"/>
          <w:sz w:val="29"/>
          <w:szCs w:val="29"/>
          <w:color w:val="auto"/>
        </w:rPr>
        <w:t>的</w:t>
      </w:r>
      <w:r>
        <w:rPr>
          <w:rFonts w:ascii="Arial" w:cs="Arial" w:eastAsia="Arial" w:hAnsi="Arial"/>
          <w:sz w:val="29"/>
          <w:szCs w:val="29"/>
          <w:color w:val="auto"/>
        </w:rPr>
        <w:t>;</w:t>
      </w:r>
    </w:p>
    <w:p>
      <w:pPr>
        <w:spacing w:after="0" w:line="289" w:lineRule="exact"/>
        <w:rPr>
          <w:sz w:val="20"/>
          <w:szCs w:val="20"/>
          <w:color w:val="auto"/>
        </w:rPr>
      </w:pPr>
    </w:p>
    <w:p>
      <w:pPr>
        <w:ind w:left="1120" w:hanging="468"/>
        <w:spacing w:after="0" w:line="352" w:lineRule="exact"/>
        <w:tabs>
          <w:tab w:leader="none" w:pos="1120" w:val="left"/>
        </w:tabs>
        <w:numPr>
          <w:ilvl w:val="0"/>
          <w:numId w:val="17"/>
        </w:numPr>
        <w:rPr>
          <w:rFonts w:ascii="Arial" w:cs="Arial" w:eastAsia="Arial" w:hAnsi="Arial"/>
          <w:sz w:val="29"/>
          <w:szCs w:val="29"/>
          <w:color w:val="auto"/>
        </w:rPr>
      </w:pPr>
      <w:r>
        <w:rPr>
          <w:rFonts w:ascii="宋体" w:cs="宋体" w:eastAsia="宋体" w:hAnsi="宋体"/>
          <w:sz w:val="29"/>
          <w:szCs w:val="29"/>
          <w:color w:val="auto"/>
        </w:rPr>
        <w:t>国有企业或地方政府融资平台公司代表政府方签署</w:t>
      </w:r>
      <w:r>
        <w:rPr>
          <w:rFonts w:ascii="Arial" w:cs="Arial" w:eastAsia="Arial" w:hAnsi="Arial"/>
          <w:sz w:val="29"/>
          <w:szCs w:val="29"/>
          <w:color w:val="auto"/>
        </w:rPr>
        <w:t>PPP</w:t>
      </w:r>
    </w:p>
    <w:p>
      <w:pPr>
        <w:spacing w:after="0" w:line="194" w:lineRule="exact"/>
        <w:rPr>
          <w:sz w:val="20"/>
          <w:szCs w:val="20"/>
          <w:color w:val="auto"/>
        </w:rPr>
      </w:pPr>
    </w:p>
    <w:p>
      <w:pPr>
        <w:ind w:left="100"/>
        <w:spacing w:after="0" w:line="352" w:lineRule="exact"/>
        <w:rPr>
          <w:sz w:val="20"/>
          <w:szCs w:val="20"/>
          <w:color w:val="auto"/>
        </w:rPr>
      </w:pPr>
      <w:r>
        <w:rPr>
          <w:rFonts w:ascii="宋体" w:cs="宋体" w:eastAsia="宋体" w:hAnsi="宋体"/>
          <w:sz w:val="29"/>
          <w:szCs w:val="29"/>
          <w:color w:val="auto"/>
        </w:rPr>
        <w:t>项目合同</w:t>
      </w:r>
      <w:r>
        <w:rPr>
          <w:rFonts w:ascii="Arial" w:cs="Arial" w:eastAsia="Arial" w:hAnsi="Arial"/>
          <w:sz w:val="29"/>
          <w:szCs w:val="29"/>
          <w:color w:val="auto"/>
        </w:rPr>
        <w:t>;</w:t>
      </w:r>
    </w:p>
    <w:p>
      <w:pPr>
        <w:spacing w:after="0" w:line="383" w:lineRule="exact"/>
        <w:rPr>
          <w:sz w:val="20"/>
          <w:szCs w:val="20"/>
          <w:color w:val="auto"/>
        </w:rPr>
      </w:pPr>
    </w:p>
    <w:p>
      <w:pPr>
        <w:ind w:left="100" w:right="160" w:firstLine="552"/>
        <w:spacing w:after="0" w:line="573" w:lineRule="exact"/>
        <w:tabs>
          <w:tab w:leader="none" w:pos="1121" w:val="left"/>
        </w:tabs>
        <w:numPr>
          <w:ilvl w:val="0"/>
          <w:numId w:val="18"/>
        </w:numPr>
        <w:rPr>
          <w:rFonts w:ascii="Arial" w:cs="Arial" w:eastAsia="Arial" w:hAnsi="Arial"/>
          <w:sz w:val="29"/>
          <w:szCs w:val="29"/>
          <w:color w:val="auto"/>
        </w:rPr>
      </w:pPr>
      <w:r>
        <w:rPr>
          <w:rFonts w:ascii="宋体" w:cs="宋体" w:eastAsia="宋体" w:hAnsi="宋体"/>
          <w:sz w:val="29"/>
          <w:szCs w:val="29"/>
          <w:color w:val="auto"/>
        </w:rPr>
        <w:t>合同直接或间接约定由政府方或其指定机构回购社会资本投资本金</w:t>
      </w:r>
      <w:r>
        <w:rPr>
          <w:rFonts w:ascii="Arial" w:cs="Arial" w:eastAsia="Arial" w:hAnsi="Arial"/>
          <w:sz w:val="29"/>
          <w:szCs w:val="29"/>
          <w:color w:val="auto"/>
        </w:rPr>
        <w:t>;</w:t>
      </w:r>
    </w:p>
    <w:p>
      <w:pPr>
        <w:spacing w:after="0" w:line="38" w:lineRule="exact"/>
        <w:rPr>
          <w:rFonts w:ascii="Arial" w:cs="Arial" w:eastAsia="Arial" w:hAnsi="Arial"/>
          <w:sz w:val="29"/>
          <w:szCs w:val="29"/>
          <w:color w:val="auto"/>
        </w:rPr>
      </w:pPr>
    </w:p>
    <w:p>
      <w:pPr>
        <w:ind w:left="100" w:right="160" w:firstLine="552"/>
        <w:spacing w:after="0" w:line="575" w:lineRule="exact"/>
        <w:tabs>
          <w:tab w:leader="none" w:pos="1121" w:val="left"/>
        </w:tabs>
        <w:numPr>
          <w:ilvl w:val="0"/>
          <w:numId w:val="18"/>
        </w:numPr>
        <w:rPr>
          <w:rFonts w:ascii="Arial" w:cs="Arial" w:eastAsia="Arial" w:hAnsi="Arial"/>
          <w:sz w:val="29"/>
          <w:szCs w:val="29"/>
          <w:color w:val="auto"/>
        </w:rPr>
      </w:pPr>
      <w:r>
        <w:rPr>
          <w:rFonts w:ascii="宋体" w:cs="宋体" w:eastAsia="宋体" w:hAnsi="宋体"/>
          <w:sz w:val="29"/>
          <w:szCs w:val="29"/>
          <w:color w:val="auto"/>
        </w:rPr>
        <w:t>合同直接或间接约定弱化或免除社会资本的投资建设运营责任</w:t>
      </w:r>
      <w:r>
        <w:rPr>
          <w:rFonts w:ascii="Arial" w:cs="Arial" w:eastAsia="Arial" w:hAnsi="Arial"/>
          <w:sz w:val="29"/>
          <w:szCs w:val="29"/>
          <w:color w:val="auto"/>
        </w:rPr>
        <w:t>;</w:t>
      </w:r>
    </w:p>
    <w:p>
      <w:pPr>
        <w:spacing w:after="0" w:line="37" w:lineRule="exact"/>
        <w:rPr>
          <w:rFonts w:ascii="Arial" w:cs="Arial" w:eastAsia="Arial" w:hAnsi="Arial"/>
          <w:sz w:val="29"/>
          <w:szCs w:val="29"/>
          <w:color w:val="auto"/>
        </w:rPr>
      </w:pPr>
    </w:p>
    <w:p>
      <w:pPr>
        <w:ind w:left="100" w:right="160" w:firstLine="552"/>
        <w:spacing w:after="0" w:line="573" w:lineRule="exact"/>
        <w:tabs>
          <w:tab w:leader="none" w:pos="1121" w:val="left"/>
        </w:tabs>
        <w:numPr>
          <w:ilvl w:val="0"/>
          <w:numId w:val="18"/>
        </w:numPr>
        <w:rPr>
          <w:rFonts w:ascii="Arial" w:cs="Arial" w:eastAsia="Arial" w:hAnsi="Arial"/>
          <w:sz w:val="29"/>
          <w:szCs w:val="29"/>
          <w:color w:val="auto"/>
        </w:rPr>
      </w:pPr>
      <w:r>
        <w:rPr>
          <w:rFonts w:ascii="宋体" w:cs="宋体" w:eastAsia="宋体" w:hAnsi="宋体"/>
          <w:sz w:val="29"/>
          <w:szCs w:val="29"/>
          <w:color w:val="auto"/>
        </w:rPr>
        <w:t>合同直接或间接约定向社会资本承诺最低投资回报或提供收益差额补足</w:t>
      </w:r>
      <w:r>
        <w:rPr>
          <w:rFonts w:ascii="Arial" w:cs="Arial" w:eastAsia="Arial" w:hAnsi="Arial"/>
          <w:sz w:val="29"/>
          <w:szCs w:val="29"/>
          <w:color w:val="auto"/>
        </w:rPr>
        <w:t>;</w:t>
      </w:r>
    </w:p>
    <w:p>
      <w:pPr>
        <w:spacing w:after="0" w:line="17" w:lineRule="exact"/>
        <w:rPr>
          <w:rFonts w:ascii="Arial" w:cs="Arial" w:eastAsia="Arial" w:hAnsi="Arial"/>
          <w:sz w:val="29"/>
          <w:szCs w:val="29"/>
          <w:color w:val="auto"/>
        </w:rPr>
      </w:pPr>
    </w:p>
    <w:p>
      <w:pPr>
        <w:ind w:left="1120" w:hanging="468"/>
        <w:spacing w:after="0" w:line="352" w:lineRule="exact"/>
        <w:tabs>
          <w:tab w:leader="none" w:pos="1120" w:val="left"/>
        </w:tabs>
        <w:numPr>
          <w:ilvl w:val="0"/>
          <w:numId w:val="18"/>
        </w:numPr>
        <w:rPr>
          <w:rFonts w:ascii="Arial" w:cs="Arial" w:eastAsia="Arial" w:hAnsi="Arial"/>
          <w:sz w:val="29"/>
          <w:szCs w:val="29"/>
          <w:color w:val="auto"/>
        </w:rPr>
      </w:pPr>
      <w:r>
        <w:rPr>
          <w:rFonts w:ascii="宋体" w:cs="宋体" w:eastAsia="宋体" w:hAnsi="宋体"/>
          <w:sz w:val="29"/>
          <w:szCs w:val="29"/>
          <w:color w:val="auto"/>
        </w:rPr>
        <w:t>合同直接或间接约定将项目运营责任返包给政府方出资</w:t>
      </w:r>
    </w:p>
    <w:p>
      <w:pPr>
        <w:sectPr>
          <w:pgSz w:w="11900" w:h="16838" w:orient="portrait"/>
          <w:cols w:equalWidth="0" w:num="1">
            <w:col w:w="9080"/>
          </w:cols>
          <w:pgMar w:left="1440" w:top="1440" w:right="1386" w:bottom="1037" w:gutter="0" w:footer="0" w:header="0"/>
        </w:sectPr>
      </w:pPr>
    </w:p>
    <w:p>
      <w:pPr>
        <w:spacing w:after="0" w:line="133" w:lineRule="exact"/>
        <w:rPr>
          <w:sz w:val="20"/>
          <w:szCs w:val="20"/>
          <w:color w:val="auto"/>
        </w:rPr>
      </w:pPr>
    </w:p>
    <w:p>
      <w:pPr>
        <w:ind w:left="380"/>
        <w:spacing w:after="0"/>
        <w:rPr>
          <w:sz w:val="20"/>
          <w:szCs w:val="20"/>
          <w:color w:val="auto"/>
        </w:rPr>
      </w:pPr>
      <w:r>
        <w:rPr>
          <w:rFonts w:ascii="Arial" w:cs="Arial" w:eastAsia="Arial" w:hAnsi="Arial"/>
          <w:sz w:val="26"/>
          <w:szCs w:val="26"/>
          <w:color w:val="auto"/>
        </w:rPr>
        <w:t>— 8 —</w:t>
      </w:r>
    </w:p>
    <w:p>
      <w:pPr>
        <w:sectPr>
          <w:pgSz w:w="11900" w:h="16838" w:orient="portrait"/>
          <w:cols w:equalWidth="0" w:num="1">
            <w:col w:w="9080"/>
          </w:cols>
          <w:pgMar w:left="1440" w:top="1440" w:right="1386" w:bottom="1037" w:gutter="0" w:footer="0" w:header="0"/>
          <w:type w:val="continuous"/>
        </w:sectPr>
      </w:pPr>
    </w:p>
    <w:bookmarkStart w:id="8" w:name="page9"/>
    <w:bookmarkEnd w:id="8"/>
    <w:p>
      <w:pPr>
        <w:spacing w:after="0" w:line="200" w:lineRule="exact"/>
        <w:rPr>
          <w:sz w:val="20"/>
          <w:szCs w:val="20"/>
          <w:color w:val="auto"/>
        </w:rPr>
      </w:pPr>
    </w:p>
    <w:p>
      <w:pPr>
        <w:spacing w:after="0" w:line="254" w:lineRule="exact"/>
        <w:rPr>
          <w:sz w:val="20"/>
          <w:szCs w:val="20"/>
          <w:color w:val="auto"/>
        </w:rPr>
      </w:pPr>
    </w:p>
    <w:p>
      <w:pPr>
        <w:ind w:left="100"/>
        <w:spacing w:after="0" w:line="352" w:lineRule="exact"/>
        <w:rPr>
          <w:sz w:val="20"/>
          <w:szCs w:val="20"/>
          <w:color w:val="auto"/>
        </w:rPr>
      </w:pPr>
      <w:r>
        <w:rPr>
          <w:rFonts w:ascii="宋体" w:cs="宋体" w:eastAsia="宋体" w:hAnsi="宋体"/>
          <w:sz w:val="29"/>
          <w:szCs w:val="29"/>
          <w:color w:val="auto"/>
        </w:rPr>
        <w:t>代表承担或另行指定社会资本方以外的第三方承担</w:t>
      </w:r>
      <w:r>
        <w:rPr>
          <w:rFonts w:ascii="Arial" w:cs="Arial" w:eastAsia="Arial" w:hAnsi="Arial"/>
          <w:sz w:val="29"/>
          <w:szCs w:val="29"/>
          <w:color w:val="auto"/>
        </w:rPr>
        <w:t>;</w:t>
      </w:r>
    </w:p>
    <w:p>
      <w:pPr>
        <w:spacing w:after="0" w:line="240" w:lineRule="exact"/>
        <w:rPr>
          <w:sz w:val="20"/>
          <w:szCs w:val="20"/>
          <w:color w:val="auto"/>
        </w:rPr>
      </w:pPr>
    </w:p>
    <w:p>
      <w:pPr>
        <w:ind w:left="100" w:right="106" w:firstLine="552"/>
        <w:spacing w:after="0" w:line="645" w:lineRule="exact"/>
        <w:tabs>
          <w:tab w:leader="none" w:pos="1121" w:val="left"/>
        </w:tabs>
        <w:numPr>
          <w:ilvl w:val="0"/>
          <w:numId w:val="19"/>
        </w:numPr>
        <w:rPr>
          <w:rFonts w:ascii="Arial" w:cs="Arial" w:eastAsia="Arial" w:hAnsi="Arial"/>
          <w:sz w:val="29"/>
          <w:szCs w:val="29"/>
          <w:color w:val="auto"/>
        </w:rPr>
      </w:pPr>
      <w:r>
        <w:rPr>
          <w:rFonts w:ascii="宋体" w:cs="宋体" w:eastAsia="宋体" w:hAnsi="宋体"/>
          <w:sz w:val="29"/>
          <w:szCs w:val="29"/>
          <w:color w:val="auto"/>
        </w:rPr>
        <w:t>合同直接或间接约定由项目公司代政府融资、由政府承担还本付息责任的</w:t>
      </w:r>
      <w:r>
        <w:rPr>
          <w:rFonts w:ascii="Arial" w:cs="Arial" w:eastAsia="Arial" w:hAnsi="Arial"/>
          <w:sz w:val="29"/>
          <w:szCs w:val="29"/>
          <w:color w:val="auto"/>
        </w:rPr>
        <w:t>;</w:t>
      </w:r>
    </w:p>
    <w:p>
      <w:pPr>
        <w:ind w:left="100" w:right="106" w:firstLine="552"/>
        <w:spacing w:after="0" w:line="592" w:lineRule="exact"/>
        <w:tabs>
          <w:tab w:leader="none" w:pos="1121" w:val="left"/>
        </w:tabs>
        <w:numPr>
          <w:ilvl w:val="0"/>
          <w:numId w:val="19"/>
        </w:numPr>
        <w:rPr>
          <w:rFonts w:ascii="Arial" w:cs="Arial" w:eastAsia="Arial" w:hAnsi="Arial"/>
          <w:sz w:val="29"/>
          <w:szCs w:val="29"/>
          <w:color w:val="auto"/>
        </w:rPr>
      </w:pPr>
      <w:r>
        <w:rPr>
          <w:rFonts w:ascii="宋体" w:cs="宋体" w:eastAsia="宋体" w:hAnsi="宋体"/>
          <w:sz w:val="29"/>
          <w:szCs w:val="29"/>
          <w:color w:val="auto"/>
        </w:rPr>
        <w:t>合同未约定资本金出资的时间规划</w:t>
      </w:r>
      <w:r>
        <w:rPr>
          <w:rFonts w:ascii="Arial" w:cs="Arial" w:eastAsia="Arial" w:hAnsi="Arial"/>
          <w:sz w:val="29"/>
          <w:szCs w:val="29"/>
          <w:color w:val="auto"/>
        </w:rPr>
        <w:t>,</w:t>
      </w:r>
      <w:r>
        <w:rPr>
          <w:rFonts w:ascii="宋体" w:cs="宋体" w:eastAsia="宋体" w:hAnsi="宋体"/>
          <w:sz w:val="29"/>
          <w:szCs w:val="29"/>
          <w:color w:val="auto"/>
        </w:rPr>
        <w:t>以及项目融资交割标志和融资交割时间要求的</w:t>
      </w:r>
      <w:r>
        <w:rPr>
          <w:rFonts w:ascii="Arial" w:cs="Arial" w:eastAsia="Arial" w:hAnsi="Arial"/>
          <w:sz w:val="29"/>
          <w:szCs w:val="29"/>
          <w:color w:val="auto"/>
        </w:rPr>
        <w:t>;</w:t>
      </w:r>
    </w:p>
    <w:p>
      <w:pPr>
        <w:ind w:left="100" w:right="106" w:firstLine="552"/>
        <w:spacing w:after="0" w:line="541" w:lineRule="exact"/>
        <w:tabs>
          <w:tab w:leader="none" w:pos="1278" w:val="left"/>
        </w:tabs>
        <w:numPr>
          <w:ilvl w:val="0"/>
          <w:numId w:val="19"/>
        </w:numPr>
        <w:rPr>
          <w:rFonts w:ascii="Arial" w:cs="Arial" w:eastAsia="Arial" w:hAnsi="Arial"/>
          <w:sz w:val="29"/>
          <w:szCs w:val="29"/>
          <w:color w:val="auto"/>
        </w:rPr>
      </w:pPr>
      <w:r>
        <w:rPr>
          <w:rFonts w:ascii="宋体" w:cs="宋体" w:eastAsia="宋体" w:hAnsi="宋体"/>
          <w:sz w:val="29"/>
          <w:szCs w:val="29"/>
          <w:color w:val="auto"/>
        </w:rPr>
        <w:t>存在其他前述第一条第</w:t>
      </w:r>
      <w:r>
        <w:rPr>
          <w:rFonts w:ascii="Arial" w:cs="Arial" w:eastAsia="Arial" w:hAnsi="Arial"/>
          <w:sz w:val="29"/>
          <w:szCs w:val="29"/>
          <w:color w:val="auto"/>
        </w:rPr>
        <w:t xml:space="preserve"> (</w:t>
      </w:r>
      <w:r>
        <w:rPr>
          <w:rFonts w:ascii="宋体" w:cs="宋体" w:eastAsia="宋体" w:hAnsi="宋体"/>
          <w:sz w:val="29"/>
          <w:szCs w:val="29"/>
          <w:color w:val="auto"/>
        </w:rPr>
        <w:t>四</w:t>
      </w:r>
      <w:r>
        <w:rPr>
          <w:rFonts w:ascii="Arial" w:cs="Arial" w:eastAsia="Arial" w:hAnsi="Arial"/>
          <w:sz w:val="29"/>
          <w:szCs w:val="29"/>
          <w:color w:val="auto"/>
        </w:rPr>
        <w:t>)</w:t>
      </w:r>
      <w:r>
        <w:rPr>
          <w:rFonts w:ascii="宋体" w:cs="宋体" w:eastAsia="宋体" w:hAnsi="宋体"/>
          <w:sz w:val="29"/>
          <w:szCs w:val="29"/>
          <w:color w:val="auto"/>
        </w:rPr>
        <w:t>款第</w:t>
      </w:r>
      <w:r>
        <w:rPr>
          <w:rFonts w:ascii="Arial" w:cs="Arial" w:eastAsia="Arial" w:hAnsi="Arial"/>
          <w:sz w:val="29"/>
          <w:szCs w:val="29"/>
          <w:color w:val="auto"/>
        </w:rPr>
        <w:t>2</w:t>
      </w:r>
      <w:r>
        <w:rPr>
          <w:rFonts w:ascii="宋体" w:cs="宋体" w:eastAsia="宋体" w:hAnsi="宋体"/>
          <w:sz w:val="29"/>
          <w:szCs w:val="29"/>
          <w:color w:val="auto"/>
        </w:rPr>
        <w:t>项中不符合规范性要求的情形。</w:t>
      </w:r>
    </w:p>
    <w:p>
      <w:pPr>
        <w:ind w:left="720"/>
        <w:spacing w:after="0" w:line="352" w:lineRule="exact"/>
        <w:rPr>
          <w:sz w:val="20"/>
          <w:szCs w:val="20"/>
          <w:color w:val="auto"/>
        </w:rPr>
      </w:pPr>
      <w:r>
        <w:rPr>
          <w:rFonts w:ascii="Arial" w:cs="Arial" w:eastAsia="Arial" w:hAnsi="Arial"/>
          <w:sz w:val="29"/>
          <w:szCs w:val="29"/>
          <w:color w:val="auto"/>
        </w:rPr>
        <w:t>(</w:t>
      </w:r>
      <w:r>
        <w:rPr>
          <w:rFonts w:ascii="宋体" w:cs="宋体" w:eastAsia="宋体" w:hAnsi="宋体"/>
          <w:sz w:val="29"/>
          <w:szCs w:val="29"/>
          <w:color w:val="auto"/>
        </w:rPr>
        <w:t>三</w:t>
      </w:r>
      <w:r>
        <w:rPr>
          <w:rFonts w:ascii="Arial" w:cs="Arial" w:eastAsia="Arial" w:hAnsi="Arial"/>
          <w:sz w:val="29"/>
          <w:szCs w:val="29"/>
          <w:color w:val="auto"/>
        </w:rPr>
        <w:t>)</w:t>
      </w:r>
      <w:r>
        <w:rPr>
          <w:rFonts w:ascii="宋体" w:cs="宋体" w:eastAsia="宋体" w:hAnsi="宋体"/>
          <w:sz w:val="29"/>
          <w:szCs w:val="29"/>
          <w:color w:val="auto"/>
        </w:rPr>
        <w:t>出资和融资行为的核查要点</w:t>
      </w:r>
    </w:p>
    <w:p>
      <w:pPr>
        <w:spacing w:after="0" w:line="240" w:lineRule="exact"/>
        <w:rPr>
          <w:sz w:val="20"/>
          <w:szCs w:val="20"/>
          <w:color w:val="auto"/>
        </w:rPr>
      </w:pPr>
    </w:p>
    <w:p>
      <w:pPr>
        <w:ind w:left="1120" w:hanging="468"/>
        <w:spacing w:after="0" w:line="352" w:lineRule="exact"/>
        <w:tabs>
          <w:tab w:leader="none" w:pos="1120" w:val="left"/>
        </w:tabs>
        <w:numPr>
          <w:ilvl w:val="0"/>
          <w:numId w:val="20"/>
        </w:numPr>
        <w:rPr>
          <w:rFonts w:ascii="Arial" w:cs="Arial" w:eastAsia="Arial" w:hAnsi="Arial"/>
          <w:sz w:val="29"/>
          <w:szCs w:val="29"/>
          <w:color w:val="auto"/>
        </w:rPr>
      </w:pPr>
      <w:r>
        <w:rPr>
          <w:rFonts w:ascii="宋体" w:cs="宋体" w:eastAsia="宋体" w:hAnsi="宋体"/>
          <w:sz w:val="29"/>
          <w:szCs w:val="29"/>
          <w:color w:val="auto"/>
        </w:rPr>
        <w:t>未按规定设定项目资本金比例</w:t>
      </w:r>
      <w:r>
        <w:rPr>
          <w:rFonts w:ascii="Arial" w:cs="Arial" w:eastAsia="Arial" w:hAnsi="Arial"/>
          <w:sz w:val="29"/>
          <w:szCs w:val="29"/>
          <w:color w:val="auto"/>
        </w:rPr>
        <w:t>;</w:t>
      </w:r>
    </w:p>
    <w:p>
      <w:pPr>
        <w:spacing w:after="0" w:line="385" w:lineRule="exact"/>
        <w:rPr>
          <w:rFonts w:ascii="Arial" w:cs="Arial" w:eastAsia="Arial" w:hAnsi="Arial"/>
          <w:sz w:val="29"/>
          <w:szCs w:val="29"/>
          <w:color w:val="auto"/>
        </w:rPr>
      </w:pPr>
    </w:p>
    <w:p>
      <w:pPr>
        <w:jc w:val="both"/>
        <w:ind w:left="100" w:right="106" w:firstLine="552"/>
        <w:spacing w:after="0" w:line="635" w:lineRule="exact"/>
        <w:tabs>
          <w:tab w:leader="none" w:pos="1121" w:val="left"/>
        </w:tabs>
        <w:numPr>
          <w:ilvl w:val="0"/>
          <w:numId w:val="20"/>
        </w:numPr>
        <w:rPr>
          <w:rFonts w:ascii="Arial" w:cs="Arial" w:eastAsia="Arial" w:hAnsi="Arial"/>
          <w:sz w:val="29"/>
          <w:szCs w:val="29"/>
          <w:color w:val="auto"/>
        </w:rPr>
      </w:pPr>
      <w:r>
        <w:rPr>
          <w:rFonts w:ascii="宋体" w:cs="宋体" w:eastAsia="宋体" w:hAnsi="宋体"/>
          <w:sz w:val="29"/>
          <w:szCs w:val="29"/>
          <w:color w:val="auto"/>
        </w:rPr>
        <w:t>未按时足额缴纳项目资本金、以债务性资金充当资本金或虚假出资、由第三方代持社会资本方股份的。项目实施机构应提供项目公司对股东投资款的入账凭证</w:t>
      </w:r>
      <w:r>
        <w:rPr>
          <w:rFonts w:ascii="Arial" w:cs="Arial" w:eastAsia="Arial" w:hAnsi="Arial"/>
          <w:sz w:val="29"/>
          <w:szCs w:val="29"/>
          <w:color w:val="auto"/>
        </w:rPr>
        <w:t xml:space="preserve"> (</w:t>
      </w:r>
      <w:r>
        <w:rPr>
          <w:rFonts w:ascii="宋体" w:cs="宋体" w:eastAsia="宋体" w:hAnsi="宋体"/>
          <w:sz w:val="29"/>
          <w:szCs w:val="29"/>
          <w:color w:val="auto"/>
        </w:rPr>
        <w:t>能够显示入账的资金用途</w:t>
      </w:r>
      <w:r>
        <w:rPr>
          <w:rFonts w:ascii="Arial" w:cs="Arial" w:eastAsia="Arial" w:hAnsi="Arial"/>
          <w:sz w:val="29"/>
          <w:szCs w:val="29"/>
          <w:color w:val="auto"/>
        </w:rPr>
        <w:t>)</w:t>
      </w:r>
      <w:r>
        <w:rPr>
          <w:rFonts w:ascii="宋体" w:cs="宋体" w:eastAsia="宋体" w:hAnsi="宋体"/>
          <w:sz w:val="29"/>
          <w:szCs w:val="29"/>
          <w:color w:val="auto"/>
        </w:rPr>
        <w:t>、项目公司股东签章的投资款来源的情况说明和为自有资金的承诺书。</w:t>
      </w:r>
    </w:p>
    <w:p>
      <w:pPr>
        <w:spacing w:after="0" w:line="282" w:lineRule="exact"/>
        <w:rPr>
          <w:sz w:val="20"/>
          <w:szCs w:val="20"/>
          <w:color w:val="auto"/>
        </w:rPr>
      </w:pPr>
    </w:p>
    <w:p>
      <w:pPr>
        <w:ind w:left="720"/>
        <w:spacing w:after="0" w:line="352" w:lineRule="exact"/>
        <w:rPr>
          <w:sz w:val="20"/>
          <w:szCs w:val="20"/>
          <w:color w:val="auto"/>
        </w:rPr>
      </w:pPr>
      <w:r>
        <w:rPr>
          <w:rFonts w:ascii="Arial" w:cs="Arial" w:eastAsia="Arial" w:hAnsi="Arial"/>
          <w:sz w:val="29"/>
          <w:szCs w:val="29"/>
          <w:color w:val="auto"/>
        </w:rPr>
        <w:t>(</w:t>
      </w:r>
      <w:r>
        <w:rPr>
          <w:rFonts w:ascii="宋体" w:cs="宋体" w:eastAsia="宋体" w:hAnsi="宋体"/>
          <w:sz w:val="29"/>
          <w:szCs w:val="29"/>
          <w:color w:val="auto"/>
        </w:rPr>
        <w:t>四</w:t>
      </w:r>
      <w:r>
        <w:rPr>
          <w:rFonts w:ascii="Arial" w:cs="Arial" w:eastAsia="Arial" w:hAnsi="Arial"/>
          <w:sz w:val="29"/>
          <w:szCs w:val="29"/>
          <w:color w:val="auto"/>
        </w:rPr>
        <w:t>)</w:t>
      </w:r>
      <w:r>
        <w:rPr>
          <w:rFonts w:ascii="宋体" w:cs="宋体" w:eastAsia="宋体" w:hAnsi="宋体"/>
          <w:sz w:val="29"/>
          <w:szCs w:val="29"/>
          <w:color w:val="auto"/>
        </w:rPr>
        <w:t>运营期间的审查</w:t>
      </w:r>
    </w:p>
    <w:p>
      <w:pPr>
        <w:spacing w:after="0" w:line="240" w:lineRule="exact"/>
        <w:rPr>
          <w:sz w:val="20"/>
          <w:szCs w:val="20"/>
          <w:color w:val="auto"/>
        </w:rPr>
      </w:pPr>
    </w:p>
    <w:p>
      <w:pPr>
        <w:ind w:left="1120" w:hanging="468"/>
        <w:spacing w:after="0" w:line="352" w:lineRule="exact"/>
        <w:tabs>
          <w:tab w:leader="none" w:pos="1120" w:val="left"/>
        </w:tabs>
        <w:numPr>
          <w:ilvl w:val="0"/>
          <w:numId w:val="21"/>
        </w:numPr>
        <w:rPr>
          <w:rFonts w:ascii="Arial" w:cs="Arial" w:eastAsia="Arial" w:hAnsi="Arial"/>
          <w:sz w:val="29"/>
          <w:szCs w:val="29"/>
          <w:color w:val="auto"/>
        </w:rPr>
      </w:pPr>
      <w:r>
        <w:rPr>
          <w:rFonts w:ascii="宋体" w:cs="宋体" w:eastAsia="宋体" w:hAnsi="宋体"/>
          <w:sz w:val="29"/>
          <w:szCs w:val="29"/>
          <w:color w:val="auto"/>
        </w:rPr>
        <w:t>未按合同约定或相关规定组织绩效评价的</w:t>
      </w:r>
      <w:r>
        <w:rPr>
          <w:rFonts w:ascii="Arial" w:cs="Arial" w:eastAsia="Arial" w:hAnsi="Arial"/>
          <w:sz w:val="29"/>
          <w:szCs w:val="29"/>
          <w:color w:val="auto"/>
        </w:rPr>
        <w:t>;</w:t>
      </w:r>
    </w:p>
    <w:p>
      <w:pPr>
        <w:spacing w:after="0" w:line="383" w:lineRule="exact"/>
        <w:rPr>
          <w:rFonts w:ascii="Arial" w:cs="Arial" w:eastAsia="Arial" w:hAnsi="Arial"/>
          <w:sz w:val="29"/>
          <w:szCs w:val="29"/>
          <w:color w:val="auto"/>
        </w:rPr>
      </w:pPr>
    </w:p>
    <w:p>
      <w:pPr>
        <w:ind w:left="1120" w:hanging="468"/>
        <w:spacing w:after="0" w:line="352" w:lineRule="exact"/>
        <w:tabs>
          <w:tab w:leader="none" w:pos="1120" w:val="left"/>
        </w:tabs>
        <w:numPr>
          <w:ilvl w:val="0"/>
          <w:numId w:val="21"/>
        </w:numPr>
        <w:rPr>
          <w:rFonts w:ascii="Arial" w:cs="Arial" w:eastAsia="Arial" w:hAnsi="Arial"/>
          <w:sz w:val="29"/>
          <w:szCs w:val="29"/>
          <w:color w:val="auto"/>
        </w:rPr>
      </w:pPr>
      <w:r>
        <w:rPr>
          <w:rFonts w:ascii="宋体" w:cs="宋体" w:eastAsia="宋体" w:hAnsi="宋体"/>
          <w:sz w:val="29"/>
          <w:szCs w:val="29"/>
          <w:color w:val="auto"/>
        </w:rPr>
        <w:t>政府实际付费金额与绩效评价结果不符的</w:t>
      </w:r>
      <w:r>
        <w:rPr>
          <w:rFonts w:ascii="Arial" w:cs="Arial" w:eastAsia="Arial" w:hAnsi="Arial"/>
          <w:sz w:val="29"/>
          <w:szCs w:val="29"/>
          <w:color w:val="auto"/>
        </w:rPr>
        <w:t>;</w:t>
      </w:r>
    </w:p>
    <w:p>
      <w:pPr>
        <w:spacing w:after="0" w:line="240" w:lineRule="exact"/>
        <w:rPr>
          <w:rFonts w:ascii="Arial" w:cs="Arial" w:eastAsia="Arial" w:hAnsi="Arial"/>
          <w:sz w:val="29"/>
          <w:szCs w:val="29"/>
          <w:color w:val="auto"/>
        </w:rPr>
      </w:pPr>
    </w:p>
    <w:p>
      <w:pPr>
        <w:ind w:left="100" w:right="106" w:firstLine="552"/>
        <w:spacing w:after="0" w:line="575" w:lineRule="exact"/>
        <w:tabs>
          <w:tab w:leader="none" w:pos="1121" w:val="left"/>
        </w:tabs>
        <w:numPr>
          <w:ilvl w:val="0"/>
          <w:numId w:val="21"/>
        </w:numPr>
        <w:rPr>
          <w:rFonts w:ascii="Arial" w:cs="Arial" w:eastAsia="Arial" w:hAnsi="Arial"/>
          <w:sz w:val="29"/>
          <w:szCs w:val="29"/>
          <w:color w:val="auto"/>
        </w:rPr>
      </w:pPr>
      <w:r>
        <w:rPr>
          <w:rFonts w:ascii="宋体" w:cs="宋体" w:eastAsia="宋体" w:hAnsi="宋体"/>
          <w:sz w:val="29"/>
          <w:szCs w:val="29"/>
          <w:color w:val="auto"/>
        </w:rPr>
        <w:t>对于绩效评价达标的项目</w:t>
      </w:r>
      <w:r>
        <w:rPr>
          <w:rFonts w:ascii="Arial" w:cs="Arial" w:eastAsia="Arial" w:hAnsi="Arial"/>
          <w:sz w:val="29"/>
          <w:szCs w:val="29"/>
          <w:color w:val="auto"/>
        </w:rPr>
        <w:t>,</w:t>
      </w:r>
      <w:r>
        <w:rPr>
          <w:rFonts w:ascii="宋体" w:cs="宋体" w:eastAsia="宋体" w:hAnsi="宋体"/>
          <w:sz w:val="29"/>
          <w:szCs w:val="29"/>
          <w:color w:val="auto"/>
        </w:rPr>
        <w:t>财政部门未及时按照合同约定</w:t>
      </w:r>
      <w:r>
        <w:rPr>
          <w:rFonts w:ascii="Arial" w:cs="Arial" w:eastAsia="Arial" w:hAnsi="Arial"/>
          <w:sz w:val="29"/>
          <w:szCs w:val="29"/>
          <w:color w:val="auto"/>
        </w:rPr>
        <w:t>,</w:t>
      </w:r>
      <w:r>
        <w:rPr>
          <w:rFonts w:ascii="宋体" w:cs="宋体" w:eastAsia="宋体" w:hAnsi="宋体"/>
          <w:sz w:val="29"/>
          <w:szCs w:val="29"/>
          <w:color w:val="auto"/>
        </w:rPr>
        <w:t>向项目公司或社会资本方及时足额安排相关支出的</w:t>
      </w:r>
      <w:r>
        <w:rPr>
          <w:rFonts w:ascii="Arial" w:cs="Arial" w:eastAsia="Arial" w:hAnsi="Arial"/>
          <w:sz w:val="29"/>
          <w:szCs w:val="29"/>
          <w:color w:val="auto"/>
        </w:rPr>
        <w:t>;</w:t>
      </w:r>
    </w:p>
    <w:p>
      <w:pPr>
        <w:spacing w:after="0" w:line="16" w:lineRule="exact"/>
        <w:rPr>
          <w:rFonts w:ascii="Arial" w:cs="Arial" w:eastAsia="Arial" w:hAnsi="Arial"/>
          <w:sz w:val="29"/>
          <w:szCs w:val="29"/>
          <w:color w:val="auto"/>
        </w:rPr>
      </w:pPr>
    </w:p>
    <w:p>
      <w:pPr>
        <w:ind w:left="1120" w:hanging="468"/>
        <w:spacing w:after="0" w:line="352" w:lineRule="exact"/>
        <w:tabs>
          <w:tab w:leader="none" w:pos="1120" w:val="left"/>
        </w:tabs>
        <w:numPr>
          <w:ilvl w:val="0"/>
          <w:numId w:val="21"/>
        </w:numPr>
        <w:rPr>
          <w:rFonts w:ascii="Arial" w:cs="Arial" w:eastAsia="Arial" w:hAnsi="Arial"/>
          <w:sz w:val="29"/>
          <w:szCs w:val="29"/>
          <w:color w:val="auto"/>
        </w:rPr>
      </w:pPr>
      <w:r>
        <w:rPr>
          <w:rFonts w:ascii="宋体" w:cs="宋体" w:eastAsia="宋体" w:hAnsi="宋体"/>
          <w:sz w:val="29"/>
          <w:szCs w:val="29"/>
          <w:color w:val="auto"/>
        </w:rPr>
        <w:t>政府和社会资本方的风险分配结果与项目执行结果不一</w:t>
      </w:r>
    </w:p>
    <w:p>
      <w:pPr>
        <w:spacing w:after="0" w:line="119" w:lineRule="exact"/>
        <w:rPr>
          <w:rFonts w:ascii="Arial" w:cs="Arial" w:eastAsia="Arial" w:hAnsi="Arial"/>
          <w:sz w:val="29"/>
          <w:szCs w:val="29"/>
          <w:color w:val="auto"/>
        </w:rPr>
      </w:pPr>
    </w:p>
    <w:p>
      <w:pPr>
        <w:ind w:left="100"/>
        <w:spacing w:after="0" w:line="331" w:lineRule="exact"/>
        <w:rPr>
          <w:rFonts w:ascii="Arial" w:cs="Arial" w:eastAsia="Arial" w:hAnsi="Arial"/>
          <w:sz w:val="29"/>
          <w:szCs w:val="29"/>
          <w:color w:val="auto"/>
        </w:rPr>
      </w:pPr>
      <w:r>
        <w:rPr>
          <w:rFonts w:ascii="宋体" w:cs="宋体" w:eastAsia="宋体" w:hAnsi="宋体"/>
          <w:sz w:val="29"/>
          <w:szCs w:val="29"/>
          <w:color w:val="auto"/>
        </w:rPr>
        <w:t>致的。</w:t>
      </w:r>
    </w:p>
    <w:p>
      <w:pPr>
        <w:spacing w:after="0" w:line="261" w:lineRule="exact"/>
        <w:rPr>
          <w:sz w:val="20"/>
          <w:szCs w:val="20"/>
          <w:color w:val="auto"/>
        </w:rPr>
      </w:pPr>
    </w:p>
    <w:p>
      <w:pPr>
        <w:ind w:left="720"/>
        <w:spacing w:after="0" w:line="331" w:lineRule="exact"/>
        <w:rPr>
          <w:sz w:val="20"/>
          <w:szCs w:val="20"/>
          <w:color w:val="auto"/>
        </w:rPr>
      </w:pPr>
      <w:r>
        <w:rPr>
          <w:rFonts w:ascii="宋体" w:cs="宋体" w:eastAsia="宋体" w:hAnsi="宋体"/>
          <w:sz w:val="29"/>
          <w:szCs w:val="29"/>
          <w:color w:val="auto"/>
        </w:rPr>
        <w:t>三、其他</w:t>
      </w:r>
    </w:p>
    <w:p>
      <w:pPr>
        <w:sectPr>
          <w:pgSz w:w="11900" w:h="16838" w:orient="portrait"/>
          <w:cols w:equalWidth="0" w:num="1">
            <w:col w:w="9026"/>
          </w:cols>
          <w:pgMar w:left="1440" w:top="1440" w:right="1440" w:bottom="1037" w:gutter="0" w:footer="0" w:header="0"/>
        </w:sectPr>
      </w:pPr>
    </w:p>
    <w:p>
      <w:pPr>
        <w:spacing w:after="0" w:line="275" w:lineRule="exact"/>
        <w:rPr>
          <w:sz w:val="20"/>
          <w:szCs w:val="20"/>
          <w:color w:val="auto"/>
        </w:rPr>
      </w:pPr>
    </w:p>
    <w:p>
      <w:pPr>
        <w:ind w:left="7540"/>
        <w:spacing w:after="0"/>
        <w:rPr>
          <w:sz w:val="20"/>
          <w:szCs w:val="20"/>
          <w:color w:val="auto"/>
        </w:rPr>
      </w:pPr>
      <w:r>
        <w:rPr>
          <w:rFonts w:ascii="Arial" w:cs="Arial" w:eastAsia="Arial" w:hAnsi="Arial"/>
          <w:sz w:val="26"/>
          <w:szCs w:val="26"/>
          <w:color w:val="auto"/>
        </w:rPr>
        <w:t>— 9 —</w:t>
      </w:r>
    </w:p>
    <w:p>
      <w:pPr>
        <w:sectPr>
          <w:pgSz w:w="11900" w:h="16838" w:orient="portrait"/>
          <w:cols w:equalWidth="0" w:num="1">
            <w:col w:w="9026"/>
          </w:cols>
          <w:pgMar w:left="1440" w:top="1440" w:right="1440" w:bottom="1037" w:gutter="0" w:footer="0" w:header="0"/>
          <w:type w:val="continuous"/>
        </w:sectPr>
      </w:pPr>
    </w:p>
    <w:bookmarkStart w:id="9" w:name="page10"/>
    <w:bookmarkEnd w:id="9"/>
    <w:p>
      <w:pPr>
        <w:spacing w:after="0" w:line="200" w:lineRule="exact"/>
        <w:rPr>
          <w:sz w:val="20"/>
          <w:szCs w:val="20"/>
          <w:color w:val="auto"/>
        </w:rPr>
      </w:pPr>
    </w:p>
    <w:p>
      <w:pPr>
        <w:spacing w:after="0" w:line="254" w:lineRule="exact"/>
        <w:rPr>
          <w:sz w:val="20"/>
          <w:szCs w:val="20"/>
          <w:color w:val="auto"/>
        </w:rPr>
      </w:pPr>
    </w:p>
    <w:p>
      <w:pPr>
        <w:ind w:left="720"/>
        <w:spacing w:after="0" w:line="352" w:lineRule="exact"/>
        <w:rPr>
          <w:sz w:val="20"/>
          <w:szCs w:val="20"/>
          <w:color w:val="auto"/>
        </w:rPr>
      </w:pPr>
      <w:r>
        <w:rPr>
          <w:rFonts w:ascii="Arial" w:cs="Arial" w:eastAsia="Arial" w:hAnsi="Arial"/>
          <w:sz w:val="29"/>
          <w:szCs w:val="29"/>
          <w:color w:val="auto"/>
        </w:rPr>
        <w:t>(</w:t>
      </w:r>
      <w:r>
        <w:rPr>
          <w:rFonts w:ascii="宋体" w:cs="宋体" w:eastAsia="宋体" w:hAnsi="宋体"/>
          <w:sz w:val="29"/>
          <w:szCs w:val="29"/>
          <w:color w:val="auto"/>
        </w:rPr>
        <w:t>一</w:t>
      </w:r>
      <w:r>
        <w:rPr>
          <w:rFonts w:ascii="Arial" w:cs="Arial" w:eastAsia="Arial" w:hAnsi="Arial"/>
          <w:sz w:val="29"/>
          <w:szCs w:val="29"/>
          <w:color w:val="auto"/>
        </w:rPr>
        <w:t>)</w:t>
      </w:r>
      <w:r>
        <w:rPr>
          <w:rFonts w:ascii="宋体" w:cs="宋体" w:eastAsia="宋体" w:hAnsi="宋体"/>
          <w:sz w:val="29"/>
          <w:szCs w:val="29"/>
          <w:color w:val="auto"/>
        </w:rPr>
        <w:t>政府债务高风险地区或隐性债务存量化解不力地区</w:t>
      </w:r>
      <w:r>
        <w:rPr>
          <w:rFonts w:ascii="Arial" w:cs="Arial" w:eastAsia="Arial" w:hAnsi="Arial"/>
          <w:sz w:val="29"/>
          <w:szCs w:val="29"/>
          <w:color w:val="auto"/>
        </w:rPr>
        <w:t>,</w:t>
      </w:r>
    </w:p>
    <w:p>
      <w:pPr>
        <w:spacing w:after="0" w:line="375" w:lineRule="exact"/>
        <w:rPr>
          <w:sz w:val="20"/>
          <w:szCs w:val="20"/>
          <w:color w:val="auto"/>
        </w:rPr>
      </w:pPr>
    </w:p>
    <w:p>
      <w:pPr>
        <w:ind w:left="100"/>
        <w:spacing w:after="0" w:line="331" w:lineRule="exact"/>
        <w:rPr>
          <w:sz w:val="20"/>
          <w:szCs w:val="20"/>
          <w:color w:val="auto"/>
        </w:rPr>
      </w:pPr>
      <w:r>
        <w:rPr>
          <w:rFonts w:ascii="宋体" w:cs="宋体" w:eastAsia="宋体" w:hAnsi="宋体"/>
          <w:sz w:val="29"/>
          <w:szCs w:val="29"/>
          <w:color w:val="auto"/>
        </w:rPr>
        <w:t>原则上不得申报项目</w:t>
      </w:r>
    </w:p>
    <w:p>
      <w:pPr>
        <w:spacing w:after="0" w:line="267" w:lineRule="exact"/>
        <w:rPr>
          <w:sz w:val="20"/>
          <w:szCs w:val="20"/>
          <w:color w:val="auto"/>
        </w:rPr>
      </w:pPr>
    </w:p>
    <w:p>
      <w:pPr>
        <w:ind w:left="720"/>
        <w:spacing w:after="0" w:line="352" w:lineRule="exact"/>
        <w:rPr>
          <w:sz w:val="20"/>
          <w:szCs w:val="20"/>
          <w:color w:val="auto"/>
        </w:rPr>
      </w:pPr>
      <w:r>
        <w:rPr>
          <w:rFonts w:ascii="Arial" w:cs="Arial" w:eastAsia="Arial" w:hAnsi="Arial"/>
          <w:sz w:val="29"/>
          <w:szCs w:val="29"/>
          <w:color w:val="auto"/>
        </w:rPr>
        <w:t>(</w:t>
      </w:r>
      <w:r>
        <w:rPr>
          <w:rFonts w:ascii="宋体" w:cs="宋体" w:eastAsia="宋体" w:hAnsi="宋体"/>
          <w:sz w:val="29"/>
          <w:szCs w:val="29"/>
          <w:color w:val="auto"/>
        </w:rPr>
        <w:t>二</w:t>
      </w:r>
      <w:r>
        <w:rPr>
          <w:rFonts w:ascii="Arial" w:cs="Arial" w:eastAsia="Arial" w:hAnsi="Arial"/>
          <w:sz w:val="29"/>
          <w:szCs w:val="29"/>
          <w:color w:val="auto"/>
        </w:rPr>
        <w:t>)</w:t>
      </w:r>
      <w:r>
        <w:rPr>
          <w:rFonts w:ascii="宋体" w:cs="宋体" w:eastAsia="宋体" w:hAnsi="宋体"/>
          <w:sz w:val="29"/>
          <w:szCs w:val="29"/>
          <w:color w:val="auto"/>
        </w:rPr>
        <w:t>未按规定进行信息公开</w:t>
      </w:r>
    </w:p>
    <w:p>
      <w:pPr>
        <w:spacing w:after="0" w:line="88" w:lineRule="exact"/>
        <w:rPr>
          <w:sz w:val="20"/>
          <w:szCs w:val="20"/>
          <w:color w:val="auto"/>
        </w:rPr>
      </w:pPr>
    </w:p>
    <w:p>
      <w:pPr>
        <w:ind w:left="1120" w:hanging="468"/>
        <w:spacing w:after="0" w:line="352" w:lineRule="exact"/>
        <w:tabs>
          <w:tab w:leader="none" w:pos="1120" w:val="left"/>
        </w:tabs>
        <w:numPr>
          <w:ilvl w:val="0"/>
          <w:numId w:val="22"/>
        </w:numPr>
        <w:rPr>
          <w:rFonts w:ascii="Arial" w:cs="Arial" w:eastAsia="Arial" w:hAnsi="Arial"/>
          <w:sz w:val="29"/>
          <w:szCs w:val="29"/>
          <w:color w:val="auto"/>
        </w:rPr>
      </w:pPr>
      <w:r>
        <w:rPr>
          <w:rFonts w:ascii="宋体" w:cs="宋体" w:eastAsia="宋体" w:hAnsi="宋体"/>
          <w:sz w:val="29"/>
          <w:szCs w:val="29"/>
          <w:color w:val="auto"/>
        </w:rPr>
        <w:t>未按规定在财政部</w:t>
      </w:r>
      <w:r>
        <w:rPr>
          <w:rFonts w:ascii="Arial" w:cs="Arial" w:eastAsia="Arial" w:hAnsi="Arial"/>
          <w:sz w:val="29"/>
          <w:szCs w:val="29"/>
          <w:color w:val="auto"/>
        </w:rPr>
        <w:t>PPP</w:t>
      </w:r>
      <w:r>
        <w:rPr>
          <w:rFonts w:ascii="宋体" w:cs="宋体" w:eastAsia="宋体" w:hAnsi="宋体"/>
          <w:sz w:val="29"/>
          <w:szCs w:val="29"/>
          <w:color w:val="auto"/>
        </w:rPr>
        <w:t>综合信息平台填报项目信息的</w:t>
      </w:r>
      <w:r>
        <w:rPr>
          <w:rFonts w:ascii="Arial" w:cs="Arial" w:eastAsia="Arial" w:hAnsi="Arial"/>
          <w:sz w:val="29"/>
          <w:szCs w:val="29"/>
          <w:color w:val="auto"/>
        </w:rPr>
        <w:t>;</w:t>
      </w:r>
    </w:p>
    <w:p>
      <w:pPr>
        <w:spacing w:after="0" w:line="379" w:lineRule="exact"/>
        <w:rPr>
          <w:rFonts w:ascii="Arial" w:cs="Arial" w:eastAsia="Arial" w:hAnsi="Arial"/>
          <w:sz w:val="29"/>
          <w:szCs w:val="29"/>
          <w:color w:val="auto"/>
        </w:rPr>
      </w:pPr>
    </w:p>
    <w:p>
      <w:pPr>
        <w:ind w:left="100" w:right="160" w:firstLine="552"/>
        <w:spacing w:after="0" w:line="516" w:lineRule="exact"/>
        <w:tabs>
          <w:tab w:leader="none" w:pos="1121" w:val="left"/>
        </w:tabs>
        <w:numPr>
          <w:ilvl w:val="0"/>
          <w:numId w:val="22"/>
        </w:numPr>
        <w:rPr>
          <w:rFonts w:ascii="Arial" w:cs="Arial" w:eastAsia="Arial" w:hAnsi="Arial"/>
          <w:sz w:val="29"/>
          <w:szCs w:val="29"/>
          <w:color w:val="auto"/>
        </w:rPr>
      </w:pPr>
      <w:r>
        <w:rPr>
          <w:rFonts w:ascii="宋体" w:cs="宋体" w:eastAsia="宋体" w:hAnsi="宋体"/>
          <w:sz w:val="29"/>
          <w:szCs w:val="29"/>
          <w:color w:val="auto"/>
        </w:rPr>
        <w:t>未按规定及时充分披露项目重大信息变更或披露虚假项目信息</w:t>
      </w:r>
      <w:r>
        <w:rPr>
          <w:rFonts w:ascii="Arial" w:cs="Arial" w:eastAsia="Arial" w:hAnsi="Arial"/>
          <w:sz w:val="29"/>
          <w:szCs w:val="29"/>
          <w:color w:val="auto"/>
        </w:rPr>
        <w:t>,</w:t>
      </w:r>
      <w:r>
        <w:rPr>
          <w:rFonts w:ascii="宋体" w:cs="宋体" w:eastAsia="宋体" w:hAnsi="宋体"/>
          <w:sz w:val="29"/>
          <w:szCs w:val="29"/>
          <w:color w:val="auto"/>
        </w:rPr>
        <w:t>严重影响行使公众知情权和社会监督权的。</w:t>
      </w:r>
    </w:p>
    <w:p>
      <w:pPr>
        <w:spacing w:after="0" w:line="2" w:lineRule="exact"/>
        <w:rPr>
          <w:sz w:val="20"/>
          <w:szCs w:val="20"/>
          <w:color w:val="auto"/>
        </w:rPr>
      </w:pPr>
    </w:p>
    <w:p>
      <w:pPr>
        <w:ind w:left="720"/>
        <w:spacing w:after="0" w:line="352" w:lineRule="exact"/>
        <w:rPr>
          <w:sz w:val="20"/>
          <w:szCs w:val="20"/>
          <w:color w:val="auto"/>
        </w:rPr>
      </w:pPr>
      <w:r>
        <w:rPr>
          <w:rFonts w:ascii="Arial" w:cs="Arial" w:eastAsia="Arial" w:hAnsi="Arial"/>
          <w:sz w:val="29"/>
          <w:szCs w:val="29"/>
          <w:color w:val="auto"/>
        </w:rPr>
        <w:t>(</w:t>
      </w:r>
      <w:r>
        <w:rPr>
          <w:rFonts w:ascii="宋体" w:cs="宋体" w:eastAsia="宋体" w:hAnsi="宋体"/>
          <w:sz w:val="29"/>
          <w:szCs w:val="29"/>
          <w:color w:val="auto"/>
        </w:rPr>
        <w:t>三</w:t>
      </w:r>
      <w:r>
        <w:rPr>
          <w:rFonts w:ascii="Arial" w:cs="Arial" w:eastAsia="Arial" w:hAnsi="Arial"/>
          <w:sz w:val="29"/>
          <w:szCs w:val="29"/>
          <w:color w:val="auto"/>
        </w:rPr>
        <w:t>)</w:t>
      </w:r>
      <w:r>
        <w:rPr>
          <w:rFonts w:ascii="宋体" w:cs="宋体" w:eastAsia="宋体" w:hAnsi="宋体"/>
          <w:sz w:val="29"/>
          <w:szCs w:val="29"/>
          <w:color w:val="auto"/>
        </w:rPr>
        <w:t>长期无实质性进展</w:t>
      </w:r>
    </w:p>
    <w:p>
      <w:pPr>
        <w:spacing w:after="0" w:line="379" w:lineRule="exact"/>
        <w:rPr>
          <w:sz w:val="20"/>
          <w:szCs w:val="20"/>
          <w:color w:val="auto"/>
        </w:rPr>
      </w:pPr>
    </w:p>
    <w:p>
      <w:pPr>
        <w:ind w:left="100" w:right="160" w:firstLine="552"/>
        <w:spacing w:after="0" w:line="572" w:lineRule="exact"/>
        <w:tabs>
          <w:tab w:leader="none" w:pos="1121" w:val="left"/>
        </w:tabs>
        <w:numPr>
          <w:ilvl w:val="0"/>
          <w:numId w:val="23"/>
        </w:numPr>
        <w:rPr>
          <w:rFonts w:ascii="Arial" w:cs="Arial" w:eastAsia="Arial" w:hAnsi="Arial"/>
          <w:sz w:val="29"/>
          <w:szCs w:val="29"/>
          <w:color w:val="auto"/>
        </w:rPr>
      </w:pPr>
      <w:r>
        <w:rPr>
          <w:rFonts w:ascii="宋体" w:cs="宋体" w:eastAsia="宋体" w:hAnsi="宋体"/>
          <w:sz w:val="29"/>
          <w:szCs w:val="29"/>
          <w:color w:val="auto"/>
        </w:rPr>
        <w:t>项目自入库起一年内未完成物有所值评价报告及财政承受能力论证报告批复的</w:t>
      </w:r>
      <w:r>
        <w:rPr>
          <w:rFonts w:ascii="Arial" w:cs="Arial" w:eastAsia="Arial" w:hAnsi="Arial"/>
          <w:sz w:val="29"/>
          <w:szCs w:val="29"/>
          <w:color w:val="auto"/>
        </w:rPr>
        <w:t>;</w:t>
      </w:r>
    </w:p>
    <w:p>
      <w:pPr>
        <w:ind w:left="1120" w:hanging="468"/>
        <w:spacing w:after="0" w:line="352" w:lineRule="exact"/>
        <w:tabs>
          <w:tab w:leader="none" w:pos="1120" w:val="left"/>
        </w:tabs>
        <w:numPr>
          <w:ilvl w:val="0"/>
          <w:numId w:val="23"/>
        </w:numPr>
        <w:rPr>
          <w:rFonts w:ascii="Arial" w:cs="Arial" w:eastAsia="Arial" w:hAnsi="Arial"/>
          <w:sz w:val="29"/>
          <w:szCs w:val="29"/>
          <w:color w:val="auto"/>
        </w:rPr>
      </w:pPr>
      <w:r>
        <w:rPr>
          <w:rFonts w:ascii="宋体" w:cs="宋体" w:eastAsia="宋体" w:hAnsi="宋体"/>
          <w:sz w:val="29"/>
          <w:szCs w:val="29"/>
          <w:color w:val="auto"/>
        </w:rPr>
        <w:t>项目自入库起一年半内未签订正式</w:t>
      </w:r>
      <w:r>
        <w:rPr>
          <w:rFonts w:ascii="Arial" w:cs="Arial" w:eastAsia="Arial" w:hAnsi="Arial"/>
          <w:sz w:val="29"/>
          <w:szCs w:val="29"/>
          <w:color w:val="auto"/>
        </w:rPr>
        <w:t>PPP</w:t>
      </w:r>
      <w:r>
        <w:rPr>
          <w:rFonts w:ascii="宋体" w:cs="宋体" w:eastAsia="宋体" w:hAnsi="宋体"/>
          <w:sz w:val="29"/>
          <w:szCs w:val="29"/>
          <w:color w:val="auto"/>
        </w:rPr>
        <w:t>合同落地实施的。</w:t>
      </w:r>
    </w:p>
    <w:p>
      <w:pPr>
        <w:sectPr>
          <w:pgSz w:w="11900" w:h="16838" w:orient="portrait"/>
          <w:cols w:equalWidth="0" w:num="1">
            <w:col w:w="9080"/>
          </w:cols>
          <w:pgMar w:left="1440" w:top="1440" w:right="1386" w:bottom="1037"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91" w:lineRule="exact"/>
        <w:rPr>
          <w:sz w:val="20"/>
          <w:szCs w:val="20"/>
          <w:color w:val="auto"/>
        </w:rPr>
      </w:pPr>
    </w:p>
    <w:p>
      <w:pPr>
        <w:ind w:left="380"/>
        <w:spacing w:after="0"/>
        <w:rPr>
          <w:sz w:val="20"/>
          <w:szCs w:val="20"/>
          <w:color w:val="auto"/>
        </w:rPr>
      </w:pPr>
      <w:r>
        <w:rPr>
          <w:rFonts w:ascii="Arial" w:cs="Arial" w:eastAsia="Arial" w:hAnsi="Arial"/>
          <w:sz w:val="26"/>
          <w:szCs w:val="26"/>
          <w:color w:val="auto"/>
        </w:rPr>
        <w:t>— 10 —</w:t>
      </w:r>
    </w:p>
    <w:p>
      <w:pPr>
        <w:sectPr>
          <w:pgSz w:w="11900" w:h="16838" w:orient="portrait"/>
          <w:cols w:equalWidth="0" w:num="1">
            <w:col w:w="9080"/>
          </w:cols>
          <w:pgMar w:left="1440" w:top="1440" w:right="1386" w:bottom="1037" w:gutter="0" w:footer="0" w:header="0"/>
          <w:type w:val="continuous"/>
        </w:sectPr>
      </w:pPr>
    </w:p>
    <w:bookmarkStart w:id="10" w:name="page11"/>
    <w:bookmarkEnd w:id="10"/>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60" w:lineRule="exact"/>
        <w:rPr>
          <w:sz w:val="20"/>
          <w:szCs w:val="20"/>
          <w:color w:val="auto"/>
        </w:rPr>
      </w:pPr>
    </w:p>
    <w:p>
      <w:pPr>
        <w:jc w:val="center"/>
        <w:ind w:right="6"/>
        <w:spacing w:after="0" w:line="445" w:lineRule="exact"/>
        <w:rPr>
          <w:sz w:val="20"/>
          <w:szCs w:val="20"/>
          <w:color w:val="auto"/>
        </w:rPr>
      </w:pPr>
      <w:r>
        <w:rPr>
          <w:rFonts w:ascii="宋体" w:cs="宋体" w:eastAsia="宋体" w:hAnsi="宋体"/>
          <w:sz w:val="39"/>
          <w:szCs w:val="39"/>
          <w:color w:val="auto"/>
        </w:rPr>
        <w:t>入库评审中暂停审核的情形</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1275080</wp:posOffset>
            </wp:positionH>
            <wp:positionV relativeFrom="paragraph">
              <wp:posOffset>-262890</wp:posOffset>
            </wp:positionV>
            <wp:extent cx="250190" cy="25019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extLst>
                    </a:blip>
                    <a:srcRect/>
                    <a:stretch>
                      <a:fillRect/>
                    </a:stretch>
                  </pic:blipFill>
                  <pic:spPr bwMode="auto">
                    <a:xfrm>
                      <a:off x="0" y="0"/>
                      <a:ext cx="250190" cy="250190"/>
                    </a:xfrm>
                    <a:prstGeom prst="rect">
                      <a:avLst/>
                    </a:prstGeom>
                    <a:noFill/>
                  </pic:spPr>
                </pic:pic>
              </a:graphicData>
            </a:graphic>
          </wp:anchor>
        </w:drawing>
      </w:r>
    </w:p>
    <w:p>
      <w:pPr>
        <w:spacing w:after="0" w:line="200" w:lineRule="exact"/>
        <w:rPr>
          <w:sz w:val="20"/>
          <w:szCs w:val="20"/>
          <w:color w:val="auto"/>
        </w:rPr>
      </w:pPr>
    </w:p>
    <w:p>
      <w:pPr>
        <w:spacing w:after="0" w:line="200" w:lineRule="exact"/>
        <w:rPr>
          <w:sz w:val="20"/>
          <w:szCs w:val="20"/>
          <w:color w:val="auto"/>
        </w:rPr>
      </w:pPr>
    </w:p>
    <w:p>
      <w:pPr>
        <w:spacing w:after="0" w:line="284" w:lineRule="exact"/>
        <w:rPr>
          <w:sz w:val="20"/>
          <w:szCs w:val="20"/>
          <w:color w:val="auto"/>
        </w:rPr>
      </w:pPr>
    </w:p>
    <w:p>
      <w:pPr>
        <w:ind w:left="100" w:right="106" w:firstLine="574"/>
        <w:spacing w:after="0" w:line="586" w:lineRule="exact"/>
        <w:rPr>
          <w:sz w:val="20"/>
          <w:szCs w:val="20"/>
          <w:color w:val="auto"/>
        </w:rPr>
      </w:pPr>
      <w:r>
        <w:rPr>
          <w:rFonts w:ascii="Arial" w:cs="Arial" w:eastAsia="Arial" w:hAnsi="Arial"/>
          <w:sz w:val="29"/>
          <w:szCs w:val="29"/>
          <w:color w:val="auto"/>
        </w:rPr>
        <w:t>PPP</w:t>
      </w:r>
      <w:r>
        <w:rPr>
          <w:rFonts w:ascii="宋体" w:cs="宋体" w:eastAsia="宋体" w:hAnsi="宋体"/>
          <w:sz w:val="29"/>
          <w:szCs w:val="29"/>
          <w:color w:val="auto"/>
        </w:rPr>
        <w:t>项目入库评审中如发现下列重大不规范情形的</w:t>
      </w:r>
      <w:r>
        <w:rPr>
          <w:rFonts w:ascii="Arial" w:cs="Arial" w:eastAsia="Arial" w:hAnsi="Arial"/>
          <w:sz w:val="29"/>
          <w:szCs w:val="29"/>
          <w:color w:val="auto"/>
        </w:rPr>
        <w:t>,</w:t>
      </w:r>
      <w:r>
        <w:rPr>
          <w:rFonts w:ascii="宋体" w:cs="宋体" w:eastAsia="宋体" w:hAnsi="宋体"/>
          <w:sz w:val="29"/>
          <w:szCs w:val="29"/>
          <w:color w:val="auto"/>
        </w:rPr>
        <w:t>为提高评审效率</w:t>
      </w:r>
      <w:r>
        <w:rPr>
          <w:rFonts w:ascii="Arial" w:cs="Arial" w:eastAsia="Arial" w:hAnsi="Arial"/>
          <w:sz w:val="29"/>
          <w:szCs w:val="29"/>
          <w:color w:val="auto"/>
        </w:rPr>
        <w:t>,</w:t>
      </w:r>
      <w:r>
        <w:rPr>
          <w:rFonts w:ascii="宋体" w:cs="宋体" w:eastAsia="宋体" w:hAnsi="宋体"/>
          <w:sz w:val="29"/>
          <w:szCs w:val="29"/>
          <w:color w:val="auto"/>
        </w:rPr>
        <w:t>评审人员可不再继续审核该项目其余资料</w:t>
      </w:r>
      <w:r>
        <w:rPr>
          <w:rFonts w:ascii="Arial" w:cs="Arial" w:eastAsia="Arial" w:hAnsi="Arial"/>
          <w:sz w:val="29"/>
          <w:szCs w:val="29"/>
          <w:color w:val="auto"/>
        </w:rPr>
        <w:t>:</w:t>
      </w:r>
    </w:p>
    <w:p>
      <w:pPr>
        <w:spacing w:after="0" w:line="3" w:lineRule="exact"/>
        <w:rPr>
          <w:sz w:val="20"/>
          <w:szCs w:val="20"/>
          <w:color w:val="auto"/>
        </w:rPr>
      </w:pPr>
    </w:p>
    <w:p>
      <w:pPr>
        <w:ind w:left="100" w:right="106" w:firstLine="629"/>
        <w:spacing w:after="0" w:line="586" w:lineRule="exact"/>
        <w:rPr>
          <w:sz w:val="20"/>
          <w:szCs w:val="20"/>
          <w:color w:val="auto"/>
        </w:rPr>
      </w:pPr>
      <w:r>
        <w:rPr>
          <w:rFonts w:ascii="宋体" w:cs="宋体" w:eastAsia="宋体" w:hAnsi="宋体"/>
          <w:sz w:val="29"/>
          <w:szCs w:val="29"/>
          <w:color w:val="auto"/>
        </w:rPr>
        <w:t>一、不属于公共服务领域的公益性项目</w:t>
      </w:r>
      <w:r>
        <w:rPr>
          <w:rFonts w:ascii="Arial" w:cs="Arial" w:eastAsia="Arial" w:hAnsi="Arial"/>
          <w:sz w:val="29"/>
          <w:szCs w:val="29"/>
          <w:color w:val="auto"/>
        </w:rPr>
        <w:t>,</w:t>
      </w:r>
      <w:r>
        <w:rPr>
          <w:rFonts w:ascii="宋体" w:cs="宋体" w:eastAsia="宋体" w:hAnsi="宋体"/>
          <w:sz w:val="29"/>
          <w:szCs w:val="29"/>
          <w:color w:val="auto"/>
        </w:rPr>
        <w:t>政府不负有提供义务的</w:t>
      </w:r>
      <w:r>
        <w:rPr>
          <w:rFonts w:ascii="Arial" w:cs="Arial" w:eastAsia="Arial" w:hAnsi="Arial"/>
          <w:sz w:val="29"/>
          <w:szCs w:val="29"/>
          <w:color w:val="auto"/>
        </w:rPr>
        <w:t>,</w:t>
      </w:r>
      <w:r>
        <w:rPr>
          <w:rFonts w:ascii="宋体" w:cs="宋体" w:eastAsia="宋体" w:hAnsi="宋体"/>
          <w:sz w:val="29"/>
          <w:szCs w:val="29"/>
          <w:color w:val="auto"/>
        </w:rPr>
        <w:t>如商业地产开发、招商引资项目等</w:t>
      </w:r>
      <w:r>
        <w:rPr>
          <w:rFonts w:ascii="Arial" w:cs="Arial" w:eastAsia="Arial" w:hAnsi="Arial"/>
          <w:sz w:val="29"/>
          <w:szCs w:val="29"/>
          <w:color w:val="auto"/>
        </w:rPr>
        <w:t>;</w:t>
      </w:r>
    </w:p>
    <w:p>
      <w:pPr>
        <w:spacing w:after="0" w:line="3" w:lineRule="exact"/>
        <w:rPr>
          <w:sz w:val="20"/>
          <w:szCs w:val="20"/>
          <w:color w:val="auto"/>
        </w:rPr>
      </w:pPr>
    </w:p>
    <w:p>
      <w:pPr>
        <w:ind w:left="100" w:right="106" w:firstLine="629"/>
        <w:spacing w:after="0" w:line="588" w:lineRule="exact"/>
        <w:rPr>
          <w:sz w:val="20"/>
          <w:szCs w:val="20"/>
          <w:color w:val="auto"/>
        </w:rPr>
      </w:pPr>
      <w:r>
        <w:rPr>
          <w:rFonts w:ascii="宋体" w:cs="宋体" w:eastAsia="宋体" w:hAnsi="宋体"/>
          <w:sz w:val="29"/>
          <w:szCs w:val="29"/>
          <w:color w:val="auto"/>
        </w:rPr>
        <w:t>二、因涉及国家安全或重大公共利益等</w:t>
      </w:r>
      <w:r>
        <w:rPr>
          <w:rFonts w:ascii="Arial" w:cs="Arial" w:eastAsia="Arial" w:hAnsi="Arial"/>
          <w:sz w:val="29"/>
          <w:szCs w:val="29"/>
          <w:color w:val="auto"/>
        </w:rPr>
        <w:t>,</w:t>
      </w:r>
      <w:r>
        <w:rPr>
          <w:rFonts w:ascii="宋体" w:cs="宋体" w:eastAsia="宋体" w:hAnsi="宋体"/>
          <w:sz w:val="29"/>
          <w:szCs w:val="29"/>
          <w:color w:val="auto"/>
        </w:rPr>
        <w:t>不适宜由社会资本承担的</w:t>
      </w:r>
      <w:r>
        <w:rPr>
          <w:rFonts w:ascii="Arial" w:cs="Arial" w:eastAsia="Arial" w:hAnsi="Arial"/>
          <w:sz w:val="29"/>
          <w:szCs w:val="29"/>
          <w:color w:val="auto"/>
        </w:rPr>
        <w:t>;</w:t>
      </w:r>
    </w:p>
    <w:p>
      <w:pPr>
        <w:spacing w:after="0" w:line="2" w:lineRule="exact"/>
        <w:rPr>
          <w:sz w:val="20"/>
          <w:szCs w:val="20"/>
          <w:color w:val="auto"/>
        </w:rPr>
      </w:pPr>
    </w:p>
    <w:p>
      <w:pPr>
        <w:ind w:left="720"/>
        <w:spacing w:after="0" w:line="352" w:lineRule="exact"/>
        <w:rPr>
          <w:sz w:val="20"/>
          <w:szCs w:val="20"/>
          <w:color w:val="auto"/>
        </w:rPr>
      </w:pPr>
      <w:r>
        <w:rPr>
          <w:rFonts w:ascii="宋体" w:cs="宋体" w:eastAsia="宋体" w:hAnsi="宋体"/>
          <w:sz w:val="29"/>
          <w:szCs w:val="29"/>
          <w:color w:val="auto"/>
        </w:rPr>
        <w:t>三、仅涉及工程建设</w:t>
      </w:r>
      <w:r>
        <w:rPr>
          <w:rFonts w:ascii="Arial" w:cs="Arial" w:eastAsia="Arial" w:hAnsi="Arial"/>
          <w:sz w:val="29"/>
          <w:szCs w:val="29"/>
          <w:color w:val="auto"/>
        </w:rPr>
        <w:t>,</w:t>
      </w:r>
      <w:r>
        <w:rPr>
          <w:rFonts w:ascii="宋体" w:cs="宋体" w:eastAsia="宋体" w:hAnsi="宋体"/>
          <w:sz w:val="29"/>
          <w:szCs w:val="29"/>
          <w:color w:val="auto"/>
        </w:rPr>
        <w:t>无运营内容或将运营内容返包给政府</w:t>
      </w:r>
    </w:p>
    <w:p>
      <w:pPr>
        <w:spacing w:after="0" w:line="237" w:lineRule="exact"/>
        <w:rPr>
          <w:sz w:val="20"/>
          <w:szCs w:val="20"/>
          <w:color w:val="auto"/>
        </w:rPr>
      </w:pPr>
    </w:p>
    <w:p>
      <w:pPr>
        <w:jc w:val="both"/>
        <w:ind w:left="100" w:right="106" w:firstLine="1"/>
        <w:spacing w:after="0" w:line="623" w:lineRule="exact"/>
        <w:tabs>
          <w:tab w:leader="none" w:pos="566" w:val="left"/>
        </w:tabs>
        <w:numPr>
          <w:ilvl w:val="0"/>
          <w:numId w:val="24"/>
        </w:numPr>
        <w:rPr>
          <w:rFonts w:ascii="宋体" w:cs="宋体" w:eastAsia="宋体" w:hAnsi="宋体"/>
          <w:sz w:val="29"/>
          <w:szCs w:val="29"/>
          <w:color w:val="auto"/>
        </w:rPr>
      </w:pPr>
      <w:r>
        <w:rPr>
          <w:rFonts w:ascii="Arial" w:cs="Arial" w:eastAsia="Arial" w:hAnsi="Arial"/>
          <w:sz w:val="29"/>
          <w:szCs w:val="29"/>
          <w:color w:val="auto"/>
        </w:rPr>
        <w:t>(</w:t>
      </w:r>
      <w:r>
        <w:rPr>
          <w:rFonts w:ascii="宋体" w:cs="宋体" w:eastAsia="宋体" w:hAnsi="宋体"/>
          <w:sz w:val="29"/>
          <w:szCs w:val="29"/>
          <w:color w:val="auto"/>
        </w:rPr>
        <w:t>含政府方出资代表</w:t>
      </w:r>
      <w:r>
        <w:rPr>
          <w:rFonts w:ascii="Arial" w:cs="Arial" w:eastAsia="Arial" w:hAnsi="Arial"/>
          <w:sz w:val="29"/>
          <w:szCs w:val="29"/>
          <w:color w:val="auto"/>
        </w:rPr>
        <w:t>)</w:t>
      </w:r>
      <w:r>
        <w:rPr>
          <w:rFonts w:ascii="宋体" w:cs="宋体" w:eastAsia="宋体" w:hAnsi="宋体"/>
          <w:sz w:val="29"/>
          <w:szCs w:val="29"/>
          <w:color w:val="auto"/>
        </w:rPr>
        <w:t>或另行指定社会资本方以外的第三方承担</w:t>
      </w:r>
      <w:r>
        <w:rPr>
          <w:rFonts w:ascii="Arial" w:cs="Arial" w:eastAsia="Arial" w:hAnsi="Arial"/>
          <w:sz w:val="29"/>
          <w:szCs w:val="29"/>
          <w:color w:val="auto"/>
        </w:rPr>
        <w:t>,</w:t>
      </w:r>
      <w:r>
        <w:rPr>
          <w:rFonts w:ascii="宋体" w:cs="宋体" w:eastAsia="宋体" w:hAnsi="宋体"/>
          <w:sz w:val="29"/>
          <w:szCs w:val="29"/>
          <w:color w:val="auto"/>
        </w:rPr>
        <w:t>弱化或免除社会资本的投资建设运营责任</w:t>
      </w:r>
      <w:r>
        <w:rPr>
          <w:rFonts w:ascii="Arial" w:cs="Arial" w:eastAsia="Arial" w:hAnsi="Arial"/>
          <w:sz w:val="29"/>
          <w:szCs w:val="29"/>
          <w:color w:val="auto"/>
        </w:rPr>
        <w:t>,</w:t>
      </w:r>
      <w:r>
        <w:rPr>
          <w:rFonts w:ascii="宋体" w:cs="宋体" w:eastAsia="宋体" w:hAnsi="宋体"/>
          <w:sz w:val="29"/>
          <w:szCs w:val="29"/>
          <w:color w:val="auto"/>
        </w:rPr>
        <w:t>或政府支出事项与项目产出绩效脱钩的</w:t>
      </w:r>
      <w:r>
        <w:rPr>
          <w:rFonts w:ascii="Arial" w:cs="Arial" w:eastAsia="Arial" w:hAnsi="Arial"/>
          <w:sz w:val="29"/>
          <w:szCs w:val="29"/>
          <w:color w:val="auto"/>
        </w:rPr>
        <w:t>;</w:t>
      </w:r>
    </w:p>
    <w:p>
      <w:pPr>
        <w:spacing w:after="0" w:line="4" w:lineRule="exact"/>
        <w:rPr>
          <w:rFonts w:ascii="宋体" w:cs="宋体" w:eastAsia="宋体" w:hAnsi="宋体"/>
          <w:sz w:val="29"/>
          <w:szCs w:val="29"/>
          <w:color w:val="auto"/>
        </w:rPr>
      </w:pPr>
    </w:p>
    <w:p>
      <w:pPr>
        <w:jc w:val="both"/>
        <w:ind w:left="100" w:right="106" w:firstLine="629"/>
        <w:spacing w:after="0" w:line="569" w:lineRule="exact"/>
        <w:rPr>
          <w:rFonts w:ascii="宋体" w:cs="宋体" w:eastAsia="宋体" w:hAnsi="宋体"/>
          <w:sz w:val="29"/>
          <w:szCs w:val="29"/>
          <w:color w:val="auto"/>
        </w:rPr>
      </w:pPr>
      <w:r>
        <w:rPr>
          <w:rFonts w:ascii="宋体" w:cs="宋体" w:eastAsia="宋体" w:hAnsi="宋体"/>
          <w:sz w:val="29"/>
          <w:szCs w:val="29"/>
          <w:color w:val="auto"/>
        </w:rPr>
        <w:t>四、构成违法违规举债的</w:t>
      </w:r>
      <w:r>
        <w:rPr>
          <w:rFonts w:ascii="Arial" w:cs="Arial" w:eastAsia="Arial" w:hAnsi="Arial"/>
          <w:sz w:val="29"/>
          <w:szCs w:val="29"/>
          <w:color w:val="auto"/>
        </w:rPr>
        <w:t>,</w:t>
      </w:r>
      <w:r>
        <w:rPr>
          <w:rFonts w:ascii="宋体" w:cs="宋体" w:eastAsia="宋体" w:hAnsi="宋体"/>
          <w:sz w:val="29"/>
          <w:szCs w:val="29"/>
          <w:color w:val="auto"/>
        </w:rPr>
        <w:t>包括</w:t>
      </w:r>
      <w:r>
        <w:rPr>
          <w:rFonts w:ascii="Arial" w:cs="Arial" w:eastAsia="Arial" w:hAnsi="Arial"/>
          <w:sz w:val="29"/>
          <w:szCs w:val="29"/>
          <w:color w:val="auto"/>
        </w:rPr>
        <w:t>:</w:t>
      </w:r>
      <w:r>
        <w:rPr>
          <w:rFonts w:ascii="宋体" w:cs="宋体" w:eastAsia="宋体" w:hAnsi="宋体"/>
          <w:sz w:val="29"/>
          <w:szCs w:val="29"/>
          <w:color w:val="auto"/>
        </w:rPr>
        <w:t>由政府或政府指定机构回购社会资本投资本金或兜底本金损失的</w:t>
      </w:r>
      <w:r>
        <w:rPr>
          <w:rFonts w:ascii="Arial" w:cs="Arial" w:eastAsia="Arial" w:hAnsi="Arial"/>
          <w:sz w:val="29"/>
          <w:szCs w:val="29"/>
          <w:color w:val="auto"/>
        </w:rPr>
        <w:t>;</w:t>
      </w:r>
      <w:r>
        <w:rPr>
          <w:rFonts w:ascii="宋体" w:cs="宋体" w:eastAsia="宋体" w:hAnsi="宋体"/>
          <w:sz w:val="29"/>
          <w:szCs w:val="29"/>
          <w:color w:val="auto"/>
        </w:rPr>
        <w:t>政府向社会资本承诺固定收益回报或最低收益的</w:t>
      </w:r>
      <w:r>
        <w:rPr>
          <w:rFonts w:ascii="Arial" w:cs="Arial" w:eastAsia="Arial" w:hAnsi="Arial"/>
          <w:sz w:val="29"/>
          <w:szCs w:val="29"/>
          <w:color w:val="auto"/>
        </w:rPr>
        <w:t>;</w:t>
      </w:r>
      <w:r>
        <w:rPr>
          <w:rFonts w:ascii="宋体" w:cs="宋体" w:eastAsia="宋体" w:hAnsi="宋体"/>
          <w:sz w:val="29"/>
          <w:szCs w:val="29"/>
          <w:color w:val="auto"/>
        </w:rPr>
        <w:t>通过签订阴阳合同</w:t>
      </w:r>
      <w:r>
        <w:rPr>
          <w:rFonts w:ascii="Arial" w:cs="Arial" w:eastAsia="Arial" w:hAnsi="Arial"/>
          <w:sz w:val="29"/>
          <w:szCs w:val="29"/>
          <w:color w:val="auto"/>
        </w:rPr>
        <w:t>,</w:t>
      </w:r>
      <w:r>
        <w:rPr>
          <w:rFonts w:ascii="宋体" w:cs="宋体" w:eastAsia="宋体" w:hAnsi="宋体"/>
          <w:sz w:val="29"/>
          <w:szCs w:val="29"/>
          <w:color w:val="auto"/>
        </w:rPr>
        <w:t>或由政府方、政府方指定单位、政府方出资代表为社会资本或项目公司融资提供任何形式担保或还款承诺等方式</w:t>
      </w:r>
      <w:r>
        <w:rPr>
          <w:rFonts w:ascii="Arial" w:cs="Arial" w:eastAsia="Arial" w:hAnsi="Arial"/>
          <w:sz w:val="29"/>
          <w:szCs w:val="29"/>
          <w:color w:val="auto"/>
        </w:rPr>
        <w:t>,</w:t>
      </w:r>
      <w:r>
        <w:rPr>
          <w:rFonts w:ascii="宋体" w:cs="宋体" w:eastAsia="宋体" w:hAnsi="宋体"/>
          <w:sz w:val="29"/>
          <w:szCs w:val="29"/>
          <w:color w:val="auto"/>
        </w:rPr>
        <w:t>由政府实际兜底项目投资建设运营风险的</w:t>
      </w:r>
      <w:r>
        <w:rPr>
          <w:rFonts w:ascii="Arial" w:cs="Arial" w:eastAsia="Arial" w:hAnsi="Arial"/>
          <w:sz w:val="29"/>
          <w:szCs w:val="29"/>
          <w:color w:val="auto"/>
        </w:rPr>
        <w:t>;</w:t>
      </w:r>
      <w:r>
        <w:rPr>
          <w:rFonts w:ascii="宋体" w:cs="宋体" w:eastAsia="宋体" w:hAnsi="宋体"/>
          <w:sz w:val="29"/>
          <w:szCs w:val="29"/>
          <w:color w:val="auto"/>
        </w:rPr>
        <w:t>明股实债的</w:t>
      </w:r>
      <w:r>
        <w:rPr>
          <w:rFonts w:ascii="Arial" w:cs="Arial" w:eastAsia="Arial" w:hAnsi="Arial"/>
          <w:sz w:val="29"/>
          <w:szCs w:val="29"/>
          <w:color w:val="auto"/>
        </w:rPr>
        <w:t>;</w:t>
      </w:r>
      <w:r>
        <w:rPr>
          <w:rFonts w:ascii="宋体" w:cs="宋体" w:eastAsia="宋体" w:hAnsi="宋体"/>
          <w:sz w:val="29"/>
          <w:szCs w:val="29"/>
          <w:color w:val="auto"/>
        </w:rPr>
        <w:t>将项目融资偿还责任交由地方政府承</w:t>
      </w:r>
    </w:p>
    <w:p>
      <w:pPr>
        <w:spacing w:after="0" w:line="6" w:lineRule="exact"/>
        <w:rPr>
          <w:sz w:val="20"/>
          <w:szCs w:val="20"/>
          <w:color w:val="auto"/>
        </w:rPr>
      </w:pPr>
    </w:p>
    <w:p>
      <w:pPr>
        <w:ind w:left="100" w:right="106"/>
        <w:spacing w:after="0" w:line="595" w:lineRule="exact"/>
        <w:rPr>
          <w:sz w:val="20"/>
          <w:szCs w:val="20"/>
          <w:color w:val="auto"/>
        </w:rPr>
      </w:pPr>
      <w:r>
        <w:rPr>
          <w:rFonts w:ascii="宋体" w:cs="宋体" w:eastAsia="宋体" w:hAnsi="宋体"/>
          <w:sz w:val="29"/>
          <w:szCs w:val="29"/>
          <w:color w:val="auto"/>
        </w:rPr>
        <w:t>担或明确约定由项目公司代政府融资、由政府承担还本付息责任的</w:t>
      </w:r>
      <w:r>
        <w:rPr>
          <w:rFonts w:ascii="Arial" w:cs="Arial" w:eastAsia="Arial" w:hAnsi="Arial"/>
          <w:sz w:val="29"/>
          <w:szCs w:val="29"/>
          <w:color w:val="auto"/>
        </w:rPr>
        <w:t>;</w:t>
      </w:r>
    </w:p>
    <w:p>
      <w:pPr>
        <w:sectPr>
          <w:pgSz w:w="11900" w:h="16838" w:orient="portrait"/>
          <w:cols w:equalWidth="0" w:num="1">
            <w:col w:w="9026"/>
          </w:cols>
          <w:pgMar w:left="1440" w:top="1440" w:right="1440" w:bottom="1037" w:gutter="0" w:footer="0" w:header="0"/>
        </w:sectPr>
      </w:pPr>
    </w:p>
    <w:p>
      <w:pPr>
        <w:spacing w:after="0" w:line="200" w:lineRule="exact"/>
        <w:rPr>
          <w:sz w:val="20"/>
          <w:szCs w:val="20"/>
          <w:color w:val="auto"/>
        </w:rPr>
      </w:pPr>
    </w:p>
    <w:p>
      <w:pPr>
        <w:spacing w:after="0" w:line="396" w:lineRule="exact"/>
        <w:rPr>
          <w:sz w:val="20"/>
          <w:szCs w:val="20"/>
          <w:color w:val="auto"/>
        </w:rPr>
      </w:pPr>
    </w:p>
    <w:p>
      <w:pPr>
        <w:ind w:left="7400"/>
        <w:spacing w:after="0"/>
        <w:rPr>
          <w:sz w:val="20"/>
          <w:szCs w:val="20"/>
          <w:color w:val="auto"/>
        </w:rPr>
      </w:pPr>
      <w:r>
        <w:rPr>
          <w:rFonts w:ascii="Arial" w:cs="Arial" w:eastAsia="Arial" w:hAnsi="Arial"/>
          <w:sz w:val="26"/>
          <w:szCs w:val="26"/>
          <w:color w:val="auto"/>
        </w:rPr>
        <w:t>— 11 —</w:t>
      </w:r>
    </w:p>
    <w:p>
      <w:pPr>
        <w:sectPr>
          <w:pgSz w:w="11900" w:h="16838" w:orient="portrait"/>
          <w:cols w:equalWidth="0" w:num="1">
            <w:col w:w="9026"/>
          </w:cols>
          <w:pgMar w:left="1440" w:top="1440" w:right="1440" w:bottom="1037" w:gutter="0" w:footer="0" w:header="0"/>
          <w:type w:val="continuous"/>
        </w:sectPr>
      </w:pPr>
    </w:p>
    <w:bookmarkStart w:id="11" w:name="page12"/>
    <w:bookmarkEnd w:id="11"/>
    <w:p>
      <w:pPr>
        <w:spacing w:after="0" w:line="200" w:lineRule="exact"/>
        <w:rPr>
          <w:sz w:val="20"/>
          <w:szCs w:val="20"/>
          <w:color w:val="auto"/>
        </w:rPr>
      </w:pPr>
    </w:p>
    <w:p>
      <w:pPr>
        <w:spacing w:after="0" w:line="254" w:lineRule="exact"/>
        <w:rPr>
          <w:sz w:val="20"/>
          <w:szCs w:val="20"/>
          <w:color w:val="auto"/>
        </w:rPr>
      </w:pPr>
    </w:p>
    <w:p>
      <w:pPr>
        <w:ind w:left="720"/>
        <w:spacing w:after="0" w:line="331" w:lineRule="exact"/>
        <w:rPr>
          <w:sz w:val="20"/>
          <w:szCs w:val="20"/>
          <w:color w:val="auto"/>
        </w:rPr>
      </w:pPr>
      <w:r>
        <w:rPr>
          <w:rFonts w:ascii="宋体" w:cs="宋体" w:eastAsia="宋体" w:hAnsi="宋体"/>
          <w:sz w:val="29"/>
          <w:szCs w:val="29"/>
          <w:color w:val="auto"/>
        </w:rPr>
        <w:t>五、本级政府所属的未按规定转型的各类融资平台公司、融</w:t>
      </w:r>
    </w:p>
    <w:p>
      <w:pPr>
        <w:spacing w:after="0" w:line="400" w:lineRule="exact"/>
        <w:rPr>
          <w:sz w:val="20"/>
          <w:szCs w:val="20"/>
          <w:color w:val="auto"/>
        </w:rPr>
      </w:pPr>
    </w:p>
    <w:p>
      <w:pPr>
        <w:ind w:left="100" w:right="106"/>
        <w:spacing w:after="0" w:line="516" w:lineRule="exact"/>
        <w:rPr>
          <w:sz w:val="20"/>
          <w:szCs w:val="20"/>
          <w:color w:val="auto"/>
        </w:rPr>
      </w:pPr>
      <w:r>
        <w:rPr>
          <w:rFonts w:ascii="宋体" w:cs="宋体" w:eastAsia="宋体" w:hAnsi="宋体"/>
          <w:sz w:val="29"/>
          <w:szCs w:val="29"/>
          <w:color w:val="auto"/>
        </w:rPr>
        <w:t>资平台公司参股并能对其经营活动构成实质性影响的国有企业作为社会资本参与本级</w:t>
      </w:r>
      <w:r>
        <w:rPr>
          <w:rFonts w:ascii="Arial" w:cs="Arial" w:eastAsia="Arial" w:hAnsi="Arial"/>
          <w:sz w:val="29"/>
          <w:szCs w:val="29"/>
          <w:color w:val="auto"/>
        </w:rPr>
        <w:t>PPP</w:t>
      </w:r>
      <w:r>
        <w:rPr>
          <w:rFonts w:ascii="宋体" w:cs="宋体" w:eastAsia="宋体" w:hAnsi="宋体"/>
          <w:sz w:val="29"/>
          <w:szCs w:val="29"/>
          <w:color w:val="auto"/>
        </w:rPr>
        <w:t>项目的。</w:t>
      </w:r>
    </w:p>
    <w:p>
      <w:pPr>
        <w:spacing w:after="0" w:line="2" w:lineRule="exact"/>
        <w:rPr>
          <w:sz w:val="20"/>
          <w:szCs w:val="20"/>
          <w:color w:val="auto"/>
        </w:rPr>
      </w:pPr>
    </w:p>
    <w:p>
      <w:pPr>
        <w:ind w:left="100" w:right="106" w:firstLine="629"/>
        <w:spacing w:after="0" w:line="588" w:lineRule="exact"/>
        <w:rPr>
          <w:sz w:val="20"/>
          <w:szCs w:val="20"/>
          <w:color w:val="auto"/>
        </w:rPr>
      </w:pPr>
      <w:r>
        <w:rPr>
          <w:rFonts w:ascii="宋体" w:cs="宋体" w:eastAsia="宋体" w:hAnsi="宋体"/>
          <w:sz w:val="29"/>
          <w:szCs w:val="29"/>
          <w:color w:val="auto"/>
        </w:rPr>
        <w:t>六、所在地区财政承受能力超</w:t>
      </w:r>
      <w:r>
        <w:rPr>
          <w:rFonts w:ascii="Arial" w:cs="Arial" w:eastAsia="Arial" w:hAnsi="Arial"/>
          <w:sz w:val="29"/>
          <w:szCs w:val="29"/>
          <w:color w:val="auto"/>
        </w:rPr>
        <w:t>10%</w:t>
      </w:r>
      <w:r>
        <w:rPr>
          <w:rFonts w:ascii="宋体" w:cs="宋体" w:eastAsia="宋体" w:hAnsi="宋体"/>
          <w:sz w:val="29"/>
          <w:szCs w:val="29"/>
          <w:color w:val="auto"/>
        </w:rPr>
        <w:t>红线以及为躲避</w:t>
      </w:r>
      <w:r>
        <w:rPr>
          <w:rFonts w:ascii="Arial" w:cs="Arial" w:eastAsia="Arial" w:hAnsi="Arial"/>
          <w:sz w:val="29"/>
          <w:szCs w:val="29"/>
          <w:color w:val="auto"/>
        </w:rPr>
        <w:t>10%</w:t>
      </w:r>
      <w:r>
        <w:rPr>
          <w:rFonts w:ascii="宋体" w:cs="宋体" w:eastAsia="宋体" w:hAnsi="宋体"/>
          <w:sz w:val="29"/>
          <w:szCs w:val="29"/>
          <w:color w:val="auto"/>
        </w:rPr>
        <w:t>红线而人为调整财承报告数据的</w:t>
      </w:r>
      <w:r>
        <w:rPr>
          <w:rFonts w:ascii="Arial" w:cs="Arial" w:eastAsia="Arial" w:hAnsi="Arial"/>
          <w:sz w:val="29"/>
          <w:szCs w:val="29"/>
          <w:color w:val="auto"/>
        </w:rPr>
        <w:t>;</w:t>
      </w:r>
    </w:p>
    <w:p>
      <w:pPr>
        <w:spacing w:after="0" w:line="2" w:lineRule="exact"/>
        <w:rPr>
          <w:sz w:val="20"/>
          <w:szCs w:val="20"/>
          <w:color w:val="auto"/>
        </w:rPr>
      </w:pPr>
    </w:p>
    <w:p>
      <w:pPr>
        <w:jc w:val="center"/>
        <w:ind w:left="100" w:right="106"/>
        <w:spacing w:after="0" w:line="588" w:lineRule="exact"/>
        <w:rPr>
          <w:sz w:val="20"/>
          <w:szCs w:val="20"/>
          <w:color w:val="auto"/>
        </w:rPr>
      </w:pPr>
      <w:r>
        <w:rPr>
          <w:rFonts w:ascii="宋体" w:cs="宋体" w:eastAsia="宋体" w:hAnsi="宋体"/>
          <w:sz w:val="29"/>
          <w:szCs w:val="29"/>
          <w:color w:val="auto"/>
        </w:rPr>
        <w:t>七、未按时足额缴纳项目资本金、以债务性资金充当资本金、出资不实或虚假出资、由第三方代持社会资本方股份的</w:t>
      </w:r>
      <w:r>
        <w:rPr>
          <w:rFonts w:ascii="Arial" w:cs="Arial" w:eastAsia="Arial" w:hAnsi="Arial"/>
          <w:sz w:val="29"/>
          <w:szCs w:val="29"/>
          <w:color w:val="auto"/>
        </w:rPr>
        <w:t>;</w:t>
      </w:r>
      <w:r>
        <w:rPr>
          <w:rFonts w:ascii="宋体" w:cs="宋体" w:eastAsia="宋体" w:hAnsi="宋体"/>
          <w:sz w:val="29"/>
          <w:szCs w:val="29"/>
          <w:color w:val="auto"/>
        </w:rPr>
        <w:t>八、未建立完全与项目产出绩效相挂钩的付费机制或付费与</w:t>
      </w:r>
    </w:p>
    <w:p>
      <w:pPr>
        <w:spacing w:after="0" w:line="3" w:lineRule="exact"/>
        <w:rPr>
          <w:sz w:val="20"/>
          <w:szCs w:val="20"/>
          <w:color w:val="auto"/>
        </w:rPr>
      </w:pPr>
    </w:p>
    <w:p>
      <w:pPr>
        <w:ind w:left="100"/>
        <w:spacing w:after="0" w:line="352" w:lineRule="exact"/>
        <w:rPr>
          <w:sz w:val="20"/>
          <w:szCs w:val="20"/>
          <w:color w:val="auto"/>
        </w:rPr>
      </w:pPr>
      <w:r>
        <w:rPr>
          <w:rFonts w:ascii="宋体" w:cs="宋体" w:eastAsia="宋体" w:hAnsi="宋体"/>
          <w:sz w:val="29"/>
          <w:szCs w:val="29"/>
          <w:color w:val="auto"/>
        </w:rPr>
        <w:t>绩效考核结果挂钩比例不符合要求</w:t>
      </w:r>
      <w:r>
        <w:rPr>
          <w:rFonts w:ascii="Arial" w:cs="Arial" w:eastAsia="Arial" w:hAnsi="Arial"/>
          <w:sz w:val="29"/>
          <w:szCs w:val="29"/>
          <w:color w:val="auto"/>
        </w:rPr>
        <w:t>;</w:t>
      </w:r>
    </w:p>
    <w:p>
      <w:pPr>
        <w:spacing w:after="0" w:line="237" w:lineRule="exact"/>
        <w:rPr>
          <w:sz w:val="20"/>
          <w:szCs w:val="20"/>
          <w:color w:val="auto"/>
        </w:rPr>
      </w:pPr>
    </w:p>
    <w:p>
      <w:pPr>
        <w:jc w:val="both"/>
        <w:ind w:left="100" w:right="86" w:firstLine="629"/>
        <w:spacing w:after="0" w:line="588" w:lineRule="exact"/>
        <w:rPr>
          <w:sz w:val="20"/>
          <w:szCs w:val="20"/>
          <w:color w:val="auto"/>
        </w:rPr>
      </w:pPr>
      <w:r>
        <w:rPr>
          <w:rFonts w:ascii="宋体" w:cs="宋体" w:eastAsia="宋体" w:hAnsi="宋体"/>
          <w:sz w:val="29"/>
          <w:szCs w:val="29"/>
          <w:color w:val="auto"/>
        </w:rPr>
        <w:t>九、项目合作期限低于</w:t>
      </w:r>
      <w:r>
        <w:rPr>
          <w:rFonts w:ascii="Arial" w:cs="Arial" w:eastAsia="Arial" w:hAnsi="Arial"/>
          <w:sz w:val="29"/>
          <w:szCs w:val="29"/>
          <w:color w:val="auto"/>
        </w:rPr>
        <w:t>10</w:t>
      </w:r>
      <w:r>
        <w:rPr>
          <w:rFonts w:ascii="宋体" w:cs="宋体" w:eastAsia="宋体" w:hAnsi="宋体"/>
          <w:sz w:val="29"/>
          <w:szCs w:val="29"/>
          <w:color w:val="auto"/>
        </w:rPr>
        <w:t>年的</w:t>
      </w:r>
      <w:r>
        <w:rPr>
          <w:rFonts w:ascii="Arial" w:cs="Arial" w:eastAsia="Arial" w:hAnsi="Arial"/>
          <w:sz w:val="29"/>
          <w:szCs w:val="29"/>
          <w:color w:val="auto"/>
        </w:rPr>
        <w:t xml:space="preserve"> (</w:t>
      </w:r>
      <w:r>
        <w:rPr>
          <w:rFonts w:ascii="宋体" w:cs="宋体" w:eastAsia="宋体" w:hAnsi="宋体"/>
          <w:sz w:val="29"/>
          <w:szCs w:val="29"/>
          <w:color w:val="auto"/>
        </w:rPr>
        <w:t>运作方式为</w:t>
      </w:r>
      <w:r>
        <w:rPr>
          <w:rFonts w:ascii="Arial" w:cs="Arial" w:eastAsia="Arial" w:hAnsi="Arial"/>
          <w:sz w:val="29"/>
          <w:szCs w:val="29"/>
          <w:color w:val="auto"/>
        </w:rPr>
        <w:t xml:space="preserve"> MC</w:t>
      </w:r>
      <w:r>
        <w:rPr>
          <w:rFonts w:ascii="宋体" w:cs="宋体" w:eastAsia="宋体" w:hAnsi="宋体"/>
          <w:sz w:val="29"/>
          <w:szCs w:val="29"/>
          <w:color w:val="auto"/>
        </w:rPr>
        <w:t>和</w:t>
      </w:r>
      <w:r>
        <w:rPr>
          <w:rFonts w:ascii="Arial" w:cs="Arial" w:eastAsia="Arial" w:hAnsi="Arial"/>
          <w:sz w:val="29"/>
          <w:szCs w:val="29"/>
          <w:color w:val="auto"/>
        </w:rPr>
        <w:t xml:space="preserve"> O&amp;M </w:t>
      </w:r>
      <w:r>
        <w:rPr>
          <w:rFonts w:ascii="宋体" w:cs="宋体" w:eastAsia="宋体" w:hAnsi="宋体"/>
          <w:sz w:val="29"/>
          <w:szCs w:val="29"/>
          <w:color w:val="auto"/>
        </w:rPr>
        <w:t>的除外</w:t>
      </w:r>
      <w:r>
        <w:rPr>
          <w:rFonts w:ascii="Arial" w:cs="Arial" w:eastAsia="Arial" w:hAnsi="Arial"/>
          <w:sz w:val="29"/>
          <w:szCs w:val="29"/>
          <w:color w:val="auto"/>
        </w:rPr>
        <w:t>);</w:t>
      </w:r>
    </w:p>
    <w:p>
      <w:pPr>
        <w:spacing w:after="0" w:line="200" w:lineRule="exact"/>
        <w:rPr>
          <w:sz w:val="20"/>
          <w:szCs w:val="20"/>
          <w:color w:val="auto"/>
        </w:rPr>
      </w:pPr>
    </w:p>
    <w:p>
      <w:pPr>
        <w:spacing w:after="0" w:line="389" w:lineRule="exact"/>
        <w:rPr>
          <w:sz w:val="20"/>
          <w:szCs w:val="20"/>
          <w:color w:val="auto"/>
        </w:rPr>
      </w:pPr>
    </w:p>
    <w:p>
      <w:pPr>
        <w:jc w:val="both"/>
        <w:ind w:left="100" w:right="106" w:firstLine="629"/>
        <w:spacing w:after="0" w:line="588" w:lineRule="exact"/>
        <w:rPr>
          <w:sz w:val="20"/>
          <w:szCs w:val="20"/>
          <w:color w:val="auto"/>
        </w:rPr>
      </w:pPr>
      <w:r>
        <w:rPr>
          <w:rFonts w:ascii="宋体" w:cs="宋体" w:eastAsia="宋体" w:hAnsi="宋体"/>
          <w:sz w:val="29"/>
          <w:szCs w:val="29"/>
          <w:color w:val="auto"/>
        </w:rPr>
        <w:t>十、未经法定程序选择社会资本方或违规采用单一来源采购方式选择社会资本的</w:t>
      </w:r>
      <w:r>
        <w:rPr>
          <w:rFonts w:ascii="Arial" w:cs="Arial" w:eastAsia="Arial" w:hAnsi="Arial"/>
          <w:sz w:val="29"/>
          <w:szCs w:val="29"/>
          <w:color w:val="auto"/>
        </w:rPr>
        <w:t>;</w:t>
      </w:r>
    </w:p>
    <w:p>
      <w:pPr>
        <w:spacing w:after="0" w:line="2" w:lineRule="exact"/>
        <w:rPr>
          <w:sz w:val="20"/>
          <w:szCs w:val="20"/>
          <w:color w:val="auto"/>
        </w:rPr>
      </w:pPr>
    </w:p>
    <w:p>
      <w:pPr>
        <w:jc w:val="both"/>
        <w:ind w:left="100" w:right="106" w:firstLine="629"/>
        <w:spacing w:after="0" w:line="588" w:lineRule="exact"/>
        <w:rPr>
          <w:sz w:val="20"/>
          <w:szCs w:val="20"/>
          <w:color w:val="auto"/>
        </w:rPr>
      </w:pPr>
      <w:r>
        <w:rPr>
          <w:rFonts w:ascii="宋体" w:cs="宋体" w:eastAsia="宋体" w:hAnsi="宋体"/>
          <w:sz w:val="29"/>
          <w:szCs w:val="29"/>
          <w:color w:val="auto"/>
        </w:rPr>
        <w:t>十一、未按规定纳入全国</w:t>
      </w:r>
      <w:r>
        <w:rPr>
          <w:rFonts w:ascii="Arial" w:cs="Arial" w:eastAsia="Arial" w:hAnsi="Arial"/>
          <w:sz w:val="29"/>
          <w:szCs w:val="29"/>
          <w:color w:val="auto"/>
        </w:rPr>
        <w:t>PPP</w:t>
      </w:r>
      <w:r>
        <w:rPr>
          <w:rFonts w:ascii="宋体" w:cs="宋体" w:eastAsia="宋体" w:hAnsi="宋体"/>
          <w:sz w:val="29"/>
          <w:szCs w:val="29"/>
          <w:color w:val="auto"/>
        </w:rPr>
        <w:t>综合信息平台项目库</w:t>
      </w:r>
      <w:r>
        <w:rPr>
          <w:rFonts w:ascii="Arial" w:cs="Arial" w:eastAsia="Arial" w:hAnsi="Arial"/>
          <w:sz w:val="29"/>
          <w:szCs w:val="29"/>
          <w:color w:val="auto"/>
        </w:rPr>
        <w:t>,</w:t>
      </w:r>
      <w:r>
        <w:rPr>
          <w:rFonts w:ascii="宋体" w:cs="宋体" w:eastAsia="宋体" w:hAnsi="宋体"/>
          <w:sz w:val="29"/>
          <w:szCs w:val="29"/>
          <w:color w:val="auto"/>
        </w:rPr>
        <w:t>未及时充分披露项目信息或披露虚假项目信息</w:t>
      </w:r>
      <w:r>
        <w:rPr>
          <w:rFonts w:ascii="Arial" w:cs="Arial" w:eastAsia="Arial" w:hAnsi="Arial"/>
          <w:sz w:val="29"/>
          <w:szCs w:val="29"/>
          <w:color w:val="auto"/>
        </w:rPr>
        <w:t>,</w:t>
      </w:r>
      <w:r>
        <w:rPr>
          <w:rFonts w:ascii="宋体" w:cs="宋体" w:eastAsia="宋体" w:hAnsi="宋体"/>
          <w:sz w:val="29"/>
          <w:szCs w:val="29"/>
          <w:color w:val="auto"/>
        </w:rPr>
        <w:t>严重影响行使公众知情权和社会监督权的</w:t>
      </w:r>
      <w:r>
        <w:rPr>
          <w:rFonts w:ascii="Arial" w:cs="Arial" w:eastAsia="Arial" w:hAnsi="Arial"/>
          <w:sz w:val="29"/>
          <w:szCs w:val="29"/>
          <w:color w:val="auto"/>
        </w:rPr>
        <w:t>;</w:t>
      </w:r>
    </w:p>
    <w:p>
      <w:pPr>
        <w:spacing w:after="0" w:line="2" w:lineRule="exact"/>
        <w:rPr>
          <w:sz w:val="20"/>
          <w:szCs w:val="20"/>
          <w:color w:val="auto"/>
        </w:rPr>
      </w:pPr>
    </w:p>
    <w:p>
      <w:pPr>
        <w:jc w:val="both"/>
        <w:ind w:left="100" w:right="106" w:firstLine="629"/>
        <w:spacing w:after="0" w:line="643" w:lineRule="exact"/>
        <w:rPr>
          <w:sz w:val="20"/>
          <w:szCs w:val="20"/>
          <w:color w:val="auto"/>
        </w:rPr>
      </w:pPr>
      <w:r>
        <w:rPr>
          <w:rFonts w:ascii="宋体" w:cs="宋体" w:eastAsia="宋体" w:hAnsi="宋体"/>
          <w:sz w:val="29"/>
          <w:szCs w:val="29"/>
          <w:color w:val="auto"/>
        </w:rPr>
        <w:t>十二、授权主体不是县级或县级以上人民政府</w:t>
      </w:r>
      <w:r>
        <w:rPr>
          <w:rFonts w:ascii="Arial" w:cs="Arial" w:eastAsia="Arial" w:hAnsi="Arial"/>
          <w:sz w:val="29"/>
          <w:szCs w:val="29"/>
          <w:color w:val="auto"/>
        </w:rPr>
        <w:t>,</w:t>
      </w:r>
      <w:r>
        <w:rPr>
          <w:rFonts w:ascii="宋体" w:cs="宋体" w:eastAsia="宋体" w:hAnsi="宋体"/>
          <w:sz w:val="29"/>
          <w:szCs w:val="29"/>
          <w:color w:val="auto"/>
        </w:rPr>
        <w:t>合同签订主体政府方不是机关或事业单位的。</w:t>
      </w:r>
    </w:p>
    <w:p>
      <w:pPr>
        <w:sectPr>
          <w:pgSz w:w="11900" w:h="16838" w:orient="portrait"/>
          <w:cols w:equalWidth="0" w:num="1">
            <w:col w:w="9026"/>
          </w:cols>
          <w:pgMar w:left="1440" w:top="1440" w:right="1440" w:bottom="1037"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51" w:lineRule="exact"/>
        <w:rPr>
          <w:sz w:val="20"/>
          <w:szCs w:val="20"/>
          <w:color w:val="auto"/>
        </w:rPr>
      </w:pPr>
    </w:p>
    <w:p>
      <w:pPr>
        <w:ind w:left="380"/>
        <w:spacing w:after="0"/>
        <w:rPr>
          <w:sz w:val="20"/>
          <w:szCs w:val="20"/>
          <w:color w:val="auto"/>
        </w:rPr>
      </w:pPr>
      <w:r>
        <w:rPr>
          <w:rFonts w:ascii="Arial" w:cs="Arial" w:eastAsia="Arial" w:hAnsi="Arial"/>
          <w:sz w:val="26"/>
          <w:szCs w:val="26"/>
          <w:color w:val="auto"/>
        </w:rPr>
        <w:t>— 12 —</w:t>
      </w:r>
    </w:p>
    <w:sectPr>
      <w:pgSz w:w="11900" w:h="16838" w:orient="portrait"/>
      <w:cols w:equalWidth="0" w:num="1">
        <w:col w:w="9026"/>
      </w:cols>
      <w:pgMar w:left="1440" w:top="1440" w:right="1440" w:bottom="1037" w:gutter="0" w:footer="0" w:header="0"/>
      <w:type w:val="continuous"/>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宋体">
    <w:panose1 w:val="02010600030101010101"/>
    <w:charset w:val="86"/>
    <w:family w:val="auto"/>
    <w:pitch w:val="variable"/>
    <w:sig w:usb0="00000003" w:usb1="288F0000" w:usb2="00000006" w:usb3="00000000" w:csb0="00040001" w:csb1="00000000"/>
  </w:font>
  <w:font w:name="Arial">
    <w:panose1 w:val="020B0604020202020204"/>
    <w:charset w:val="00"/>
    <w:family w:val="swiss"/>
    <w:pitch w:val="variable"/>
    <w:sig w:usb0="E0002EFF" w:usb1="C0007843" w:usb2="00000009" w:usb3="00000000" w:csb0="400001FF" w:csb1="FFFF0000"/>
  </w:font>
  <w:font w:name="MS PGothic">
    <w:panose1 w:val="020B0600070205080204"/>
    <w:charset w:val="80"/>
    <w:family w:val="swiss"/>
    <w:pitch w:val="variable"/>
    <w:sig w:usb0="E00002FF" w:usb1="6AC7FDFB" w:usb2="08000012" w:usb3="00000000" w:csb0="4002009F" w:csb1="DFD70000"/>
  </w:font>
</w:fonts>
</file>

<file path=word/numbering.xml><?xml version="1.0" encoding="utf-8"?>
<w:numbering xmlns:w="http://schemas.openxmlformats.org/wordprocessingml/2006/main">
  <w:abstractNum w:abstractNumId="0">
    <w:nsid w:val="1547"/>
    <w:multiLevelType w:val="hybridMultilevel"/>
    <w:lvl w:ilvl="0">
      <w:lvlJc w:val="left"/>
      <w:lvlText w:val="%1."/>
      <w:numFmt w:val="decimal"/>
      <w:start w:val="1"/>
    </w:lvl>
  </w:abstractNum>
  <w:abstractNum w:abstractNumId="1">
    <w:nsid w:val="54DE"/>
    <w:multiLevelType w:val="hybridMultilevel"/>
    <w:lvl w:ilvl="0">
      <w:lvlJc w:val="left"/>
      <w:lvlText w:val="%1."/>
      <w:numFmt w:val="decimal"/>
      <w:start w:val="2"/>
    </w:lvl>
  </w:abstractNum>
  <w:abstractNum w:abstractNumId="2">
    <w:nsid w:val="39B3"/>
    <w:multiLevelType w:val="hybridMultilevel"/>
    <w:lvl w:ilvl="0">
      <w:lvlJc w:val="left"/>
      <w:lvlText w:val="%1."/>
      <w:numFmt w:val="decimal"/>
      <w:start w:val="1"/>
    </w:lvl>
  </w:abstractNum>
  <w:abstractNum w:abstractNumId="3">
    <w:nsid w:val="2D12"/>
    <w:multiLevelType w:val="hybridMultilevel"/>
    <w:lvl w:ilvl="0">
      <w:lvlJc w:val="left"/>
      <w:lvlText w:val="%1."/>
      <w:numFmt w:val="decimal"/>
      <w:start w:val="2"/>
    </w:lvl>
  </w:abstractNum>
  <w:abstractNum w:abstractNumId="4">
    <w:nsid w:val="74D"/>
    <w:multiLevelType w:val="hybridMultilevel"/>
    <w:lvl w:ilvl="0">
      <w:lvlJc w:val="left"/>
      <w:lvlText w:val="%1."/>
      <w:numFmt w:val="decimal"/>
      <w:start w:val="3"/>
    </w:lvl>
  </w:abstractNum>
  <w:abstractNum w:abstractNumId="5">
    <w:nsid w:val="4DC8"/>
    <w:multiLevelType w:val="hybridMultilevel"/>
    <w:lvl w:ilvl="0">
      <w:lvlJc w:val="left"/>
      <w:lvlText w:val="%1."/>
      <w:numFmt w:val="decimal"/>
      <w:start w:val="1"/>
    </w:lvl>
  </w:abstractNum>
  <w:abstractNum w:abstractNumId="6">
    <w:nsid w:val="6443"/>
    <w:multiLevelType w:val="hybridMultilevel"/>
    <w:lvl w:ilvl="0">
      <w:lvlJc w:val="left"/>
      <w:lvlText w:val="%1."/>
      <w:numFmt w:val="decimal"/>
      <w:start w:val="2"/>
    </w:lvl>
  </w:abstractNum>
  <w:abstractNum w:abstractNumId="7">
    <w:nsid w:val="66BB"/>
    <w:multiLevelType w:val="hybridMultilevel"/>
    <w:lvl w:ilvl="0">
      <w:lvlJc w:val="left"/>
      <w:lvlText w:val="%1."/>
      <w:numFmt w:val="decimal"/>
      <w:start w:val="3"/>
    </w:lvl>
  </w:abstractNum>
  <w:abstractNum w:abstractNumId="8">
    <w:nsid w:val="428B"/>
    <w:multiLevelType w:val="hybridMultilevel"/>
    <w:lvl w:ilvl="0">
      <w:lvlJc w:val="left"/>
      <w:lvlText w:val="%1."/>
      <w:numFmt w:val="decimal"/>
      <w:start w:val="1"/>
    </w:lvl>
  </w:abstractNum>
  <w:abstractNum w:abstractNumId="9">
    <w:nsid w:val="26A6"/>
    <w:multiLevelType w:val="hybridMultilevel"/>
    <w:lvl w:ilvl="0">
      <w:lvlJc w:val="left"/>
      <w:lvlText w:val="%1."/>
      <w:numFmt w:val="decimal"/>
      <w:start w:val="2"/>
    </w:lvl>
  </w:abstractNum>
  <w:abstractNum w:abstractNumId="10">
    <w:nsid w:val="701F"/>
    <w:multiLevelType w:val="hybridMultilevel"/>
    <w:lvl w:ilvl="0">
      <w:lvlJc w:val="left"/>
      <w:lvlText w:val="%1."/>
      <w:numFmt w:val="decimal"/>
      <w:start w:val="4"/>
    </w:lvl>
  </w:abstractNum>
  <w:abstractNum w:abstractNumId="11">
    <w:nsid w:val="5D03"/>
    <w:multiLevelType w:val="hybridMultilevel"/>
    <w:lvl w:ilvl="0">
      <w:lvlJc w:val="left"/>
      <w:lvlText w:val="%1."/>
      <w:numFmt w:val="decimal"/>
      <w:start w:val="6"/>
    </w:lvl>
  </w:abstractNum>
  <w:abstractNum w:abstractNumId="12">
    <w:nsid w:val="7A5A"/>
    <w:multiLevelType w:val="hybridMultilevel"/>
    <w:lvl w:ilvl="0">
      <w:lvlJc w:val="left"/>
      <w:lvlText w:val="%1."/>
      <w:numFmt w:val="decimal"/>
      <w:start w:val="8"/>
    </w:lvl>
  </w:abstractNum>
  <w:abstractNum w:abstractNumId="13">
    <w:nsid w:val="767D"/>
    <w:multiLevelType w:val="hybridMultilevel"/>
    <w:lvl w:ilvl="0">
      <w:lvlJc w:val="left"/>
      <w:lvlText w:val="%1."/>
      <w:numFmt w:val="decimal"/>
      <w:start w:val="1"/>
    </w:lvl>
  </w:abstractNum>
  <w:abstractNum w:abstractNumId="14">
    <w:nsid w:val="4509"/>
    <w:multiLevelType w:val="hybridMultilevel"/>
    <w:lvl w:ilvl="0">
      <w:lvlJc w:val="left"/>
      <w:lvlText w:val="%1."/>
      <w:numFmt w:val="decimal"/>
      <w:start w:val="2"/>
    </w:lvl>
  </w:abstractNum>
  <w:abstractNum w:abstractNumId="15">
    <w:nsid w:val="1238"/>
    <w:multiLevelType w:val="hybridMultilevel"/>
    <w:lvl w:ilvl="0">
      <w:lvlJc w:val="left"/>
      <w:lvlText w:val="%1."/>
      <w:numFmt w:val="decimal"/>
      <w:start w:val="1"/>
    </w:lvl>
  </w:abstractNum>
  <w:abstractNum w:abstractNumId="16">
    <w:nsid w:val="3B25"/>
    <w:multiLevelType w:val="hybridMultilevel"/>
    <w:lvl w:ilvl="0">
      <w:lvlJc w:val="left"/>
      <w:lvlText w:val="%1."/>
      <w:numFmt w:val="decimal"/>
      <w:start w:val="3"/>
    </w:lvl>
  </w:abstractNum>
  <w:abstractNum w:abstractNumId="17">
    <w:nsid w:val="1E1F"/>
    <w:multiLevelType w:val="hybridMultilevel"/>
    <w:lvl w:ilvl="0">
      <w:lvlJc w:val="left"/>
      <w:lvlText w:val="%1."/>
      <w:numFmt w:val="decimal"/>
      <w:start w:val="4"/>
    </w:lvl>
  </w:abstractNum>
  <w:abstractNum w:abstractNumId="18">
    <w:nsid w:val="6E5D"/>
    <w:multiLevelType w:val="hybridMultilevel"/>
    <w:lvl w:ilvl="0">
      <w:lvlJc w:val="left"/>
      <w:lvlText w:val="%1."/>
      <w:numFmt w:val="decimal"/>
      <w:start w:val="8"/>
    </w:lvl>
  </w:abstractNum>
  <w:abstractNum w:abstractNumId="19">
    <w:nsid w:val="1AD4"/>
    <w:multiLevelType w:val="hybridMultilevel"/>
    <w:lvl w:ilvl="0">
      <w:lvlJc w:val="left"/>
      <w:lvlText w:val="%1."/>
      <w:numFmt w:val="decimal"/>
      <w:start w:val="1"/>
    </w:lvl>
  </w:abstractNum>
  <w:abstractNum w:abstractNumId="20">
    <w:nsid w:val="63CB"/>
    <w:multiLevelType w:val="hybridMultilevel"/>
    <w:lvl w:ilvl="0">
      <w:lvlJc w:val="left"/>
      <w:lvlText w:val="%1."/>
      <w:numFmt w:val="decimal"/>
      <w:start w:val="1"/>
    </w:lvl>
  </w:abstractNum>
  <w:abstractNum w:abstractNumId="21">
    <w:nsid w:val="6BFC"/>
    <w:multiLevelType w:val="hybridMultilevel"/>
    <w:lvl w:ilvl="0">
      <w:lvlJc w:val="left"/>
      <w:lvlText w:val="%1."/>
      <w:numFmt w:val="decimal"/>
      <w:start w:val="1"/>
    </w:lvl>
  </w:abstractNum>
  <w:abstractNum w:abstractNumId="22">
    <w:nsid w:val="7F96"/>
    <w:multiLevelType w:val="hybridMultilevel"/>
    <w:lvl w:ilvl="0">
      <w:lvlJc w:val="left"/>
      <w:lvlText w:val="%1."/>
      <w:numFmt w:val="decimal"/>
      <w:start w:val="1"/>
    </w:lvl>
  </w:abstractNum>
  <w:abstractNum w:abstractNumId="23">
    <w:nsid w:val="7FF5"/>
    <w:multiLevelType w:val="hybridMultilevel"/>
    <w:lvl w:ilvl="0">
      <w:lvlJc w:val="left"/>
      <w:lvlText w:val="方"/>
      <w:numFmt w:val="bullet"/>
      <w:start w:val="1"/>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image" Target="media/image1.jpeg"/><Relationship Id="rId9" Type="http://schemas.openxmlformats.org/officeDocument/2006/relationships/image" Target="media/image2.jpeg"/></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2020-07-13T11:08:50Z</dcterms:created>
  <dcterms:modified xsi:type="dcterms:W3CDTF">2020-07-13T11:08:50Z</dcterms:modified>
</cp:coreProperties>
</file>