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F9E" w:rsidRPr="004C6F9E" w:rsidRDefault="004C6F9E" w:rsidP="004C6F9E">
      <w:pPr>
        <w:shd w:val="clear" w:color="auto" w:fill="FFFFFF"/>
        <w:adjustRightInd/>
        <w:snapToGrid/>
        <w:spacing w:after="210"/>
        <w:jc w:val="center"/>
        <w:outlineLvl w:val="1"/>
        <w:rPr>
          <w:rFonts w:asciiTheme="majorEastAsia" w:eastAsiaTheme="majorEastAsia" w:hAnsiTheme="majorEastAsia" w:cs="宋体" w:hint="eastAsia"/>
          <w:b/>
          <w:color w:val="333333"/>
          <w:spacing w:val="8"/>
          <w:sz w:val="36"/>
          <w:szCs w:val="36"/>
        </w:rPr>
      </w:pPr>
      <w:r w:rsidRPr="004C6F9E">
        <w:rPr>
          <w:rFonts w:asciiTheme="majorEastAsia" w:eastAsiaTheme="majorEastAsia" w:hAnsiTheme="majorEastAsia" w:cs="宋体" w:hint="eastAsia"/>
          <w:b/>
          <w:color w:val="333333"/>
          <w:spacing w:val="8"/>
          <w:sz w:val="36"/>
          <w:szCs w:val="36"/>
        </w:rPr>
        <w:t>《中华人民共和国土地管理法》</w:t>
      </w:r>
    </w:p>
    <w:p w:rsidR="004C6F9E" w:rsidRPr="004C6F9E" w:rsidRDefault="004C6F9E" w:rsidP="004C6F9E">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 xml:space="preserve">　　1986年6月25日第六届全国人民代表大会常务委员会第十六次会议通过</w:t>
      </w:r>
    </w:p>
    <w:p w:rsidR="004C6F9E" w:rsidRPr="004C6F9E" w:rsidRDefault="004C6F9E" w:rsidP="004C6F9E">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 xml:space="preserve">　　根据1988年12月29日第七届全国人民代表大会常务委员会第五次会议《关于修改〈中华人民共和国土地管理法〉的决定》第一次修正</w:t>
      </w:r>
    </w:p>
    <w:p w:rsidR="004C6F9E" w:rsidRPr="004C6F9E" w:rsidRDefault="004C6F9E" w:rsidP="004C6F9E">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 xml:space="preserve">　　1998年8月29日第九届全国人民代表大会常务委员会第四次会议修订</w:t>
      </w:r>
    </w:p>
    <w:p w:rsidR="004C6F9E" w:rsidRPr="004C6F9E" w:rsidRDefault="004C6F9E" w:rsidP="004C6F9E">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 xml:space="preserve">　　根据2004年8月28日第十届全国人民代表大会常务委员会第十一次会议《关于修改〈中华人民共和国土地管理法〉的决定》第二次修正</w:t>
      </w:r>
    </w:p>
    <w:p w:rsidR="004C6F9E" w:rsidRPr="004C6F9E" w:rsidRDefault="004C6F9E" w:rsidP="004C6F9E">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 xml:space="preserve">　　根据2019年8月26日第十三届全国人民代表大会常务委员会第十二次会议《关于修改〈中华人民共和国土地管理法〉、〈中华人民共和国城市房地产管理法〉的决定》第三次修正</w:t>
      </w:r>
    </w:p>
    <w:p w:rsidR="004C6F9E" w:rsidRPr="004C6F9E" w:rsidRDefault="004C6F9E" w:rsidP="004C6F9E">
      <w:pPr>
        <w:shd w:val="clear" w:color="auto" w:fill="FFFFFF"/>
        <w:adjustRightInd/>
        <w:snapToGrid/>
        <w:spacing w:after="0" w:line="408"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b/>
          <w:bCs/>
          <w:color w:val="333333"/>
          <w:spacing w:val="8"/>
          <w:sz w:val="32"/>
          <w:szCs w:val="32"/>
        </w:rPr>
        <w:t>目　　录</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第一章　总　　则</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第二章　土地的所有权和使用权</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第三章　土地利用总体规划</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第四章　耕地保护</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第五章　建设用地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第六章　监督检查</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第七章　法律责任</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第八章　附　　则</w:t>
      </w:r>
    </w:p>
    <w:p w:rsidR="004C6F9E" w:rsidRPr="004C6F9E" w:rsidRDefault="004C6F9E" w:rsidP="004C6F9E">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br/>
      </w:r>
    </w:p>
    <w:p w:rsidR="004C6F9E" w:rsidRPr="004C6F9E" w:rsidRDefault="004C6F9E" w:rsidP="004C6F9E">
      <w:pPr>
        <w:shd w:val="clear" w:color="auto" w:fill="FFFFFF"/>
        <w:adjustRightInd/>
        <w:snapToGrid/>
        <w:spacing w:after="0" w:line="480" w:lineRule="atLeast"/>
        <w:jc w:val="center"/>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b/>
          <w:bCs/>
          <w:color w:val="333333"/>
          <w:spacing w:val="8"/>
          <w:sz w:val="32"/>
          <w:szCs w:val="32"/>
        </w:rPr>
        <w:t>第一章　总　　则</w:t>
      </w:r>
    </w:p>
    <w:p w:rsidR="004C6F9E" w:rsidRPr="004C6F9E" w:rsidRDefault="004C6F9E" w:rsidP="004C6F9E">
      <w:pPr>
        <w:shd w:val="clear" w:color="auto" w:fill="FFFFFF"/>
        <w:adjustRightInd/>
        <w:snapToGrid/>
        <w:spacing w:after="0" w:line="480" w:lineRule="atLeast"/>
        <w:jc w:val="center"/>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lastRenderedPageBreak/>
        <w:t>第一条　为了加强土地管理，维护土地的社会主义公有制，保护、开发土地资源，合理利用土地，切实保护耕地，促进社会经济的可持续发展，根据宪法，制定本法。</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第二条　中华人民共和国实行土地的社会主义公有制，即全民所有制和劳动群众集体所有制。</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全民所有，即国家所有土地的所有权由国务院代表国家行使。</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任何单位和个人不得侵占、买卖或者以其他形式非法转让土地。土地使用权可以依法转让。</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国家为了公共利益的需要，可以依法对土地实行征收或者征用并给予补偿。</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国家依法实行国有土地有偿使用制度。但是，国家在法律规定的范围内划拨国有土地使用权的除外。</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第三条　十分珍惜、合理利用土地和切实保护耕地是我国的基本国策。各级人民政府应当采取措施，全面规划，严格管理，保护、开发土地资源，制止非法占用土地的行为。</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第四条　国家实行土地用途管制制度。</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国家编制土地利用总体规划，规定土地用途，将土地分为农用地、建设用地和未利用地。严格限制农用地转为建设用地，控制建设用地总量，对耕地实行特殊保护。</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前款所称农用地是指直接用于农业生产的土地，包括耕地、林地、草地、农田水利用地、养殖水面等；建设用地是指建造建筑物、构筑物的土地，包括城乡住宅和公共设施用地、工矿用地、交通水利设施用地、旅游用地、军</w:t>
      </w:r>
      <w:r w:rsidRPr="004C6F9E">
        <w:rPr>
          <w:rFonts w:ascii="仿宋_GB2312" w:eastAsia="仿宋_GB2312" w:hAnsi="微软雅黑" w:cs="宋体" w:hint="eastAsia"/>
          <w:color w:val="333333"/>
          <w:spacing w:val="8"/>
          <w:sz w:val="32"/>
          <w:szCs w:val="32"/>
        </w:rPr>
        <w:lastRenderedPageBreak/>
        <w:t>事设施用地等；未利用地是指农用地和建设用地以外的土地。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使用土地的单位和个人必须严格按照土地利用总体规划确定的用途使用土地。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第五条　国务院自然资源主管部门统一负责全国土地的管理和监督工作。</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县级以上地方人民政府自然资源主管部门的设置及其职责，由省、自治区、直辖市人民政府根据国务院有关规定确定。</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第六条　国务院授权的机构对省、自治区、直辖市人民政府以及国务院确定的城市人民政府土地利用和土地管理情况进行督察。</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第七条　任何单位和个人都有遵守土地管理法律、法规的义务，并有权对违反土地管理法律、法规的行为提出检举和控告。</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第八条　在保护和开发土地资源、合理利用土地以及进行有关的科学研究等方面成绩显著的单位和个人，由人民政府给予奖励。</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b/>
          <w:bCs/>
          <w:color w:val="333333"/>
          <w:spacing w:val="8"/>
          <w:sz w:val="32"/>
          <w:szCs w:val="32"/>
        </w:rPr>
        <w:t>第二章　土地的所有权和使用权</w:t>
      </w:r>
    </w:p>
    <w:p w:rsidR="004C6F9E" w:rsidRPr="004C6F9E" w:rsidRDefault="004C6F9E" w:rsidP="004C6F9E">
      <w:pPr>
        <w:shd w:val="clear" w:color="auto" w:fill="FFFFFF"/>
        <w:adjustRightInd/>
        <w:snapToGrid/>
        <w:spacing w:after="0" w:line="480" w:lineRule="atLeast"/>
        <w:ind w:firstLine="480"/>
        <w:jc w:val="center"/>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第九条　城市市区的土地属于国家所有。</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农村和城市郊区的土地，除由法律规定属于国家所有的以外，属于农民集体所有；宅基地和自留地、自留山，属于农民集体所有。</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第十条　国有土地和农民集体所有的土地，可以依法确定给单位或者个人使用。使用土地的单位和个人，有保护、管理和合理利用土地的义务。</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第十一条　农民集体所有的土地依法属于村农民集体所有的，由村集体经济组织或者村民委员会经营、管理；已经分别属于村内两个以上农村集体经济组织的农民集体所有的，由村内各该农村集体经济组织或者村民小组经营、管理；已经属于乡（镇）农民集体所有的，由乡（镇）农村集体经济组织经营、管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第十二条　土地的所有权和使用权的登记，依照有关不动产登记的法律、行政法规执行。</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依法登记的土地的所有权和使用权受法律保护，任何单位和个人不得侵犯。</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第十三条　农民集体所有和国家所有依法由农民集体使用的耕地、林地、草地，以及其他依法用于农业的土地，采取农村集体经济组织内部的家庭承包方式承包，不宜采取家庭承包方式的荒山、荒沟、荒丘、荒滩等，可以采取招标、拍卖、公开协商等方式承包，从事种植业、林业、畜牧业、渔业生产。家庭承包的耕地的承包期为三十年，草地的承包期为三十年至五十年，林地的承包期为三十年至七十年；耕地承包期届满后再延长三十年，草地、林地承包期届满后依法相应延长。</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国家所有依法用于农业的土地可以由单位或者个人承包经营，从事种植业、林业、畜牧业、渔业生产。</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lastRenderedPageBreak/>
        <w:t>发包方和承包方应当依法订立承包合同，约定双方的权利和义务。承包经营土地的单位和个人，有保护和按照承包合同约定的用途合理利用土地的义务。</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第十四条　土地所有权和使用权争议，由当事人协商解决；协商不成的，由人民政府处理。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单位之间的争议，由县级以上人民政府处理；个人之间、个人与单位之间的争议，由乡级人民政府或者县级以上人民政府处理。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当事人对有关人民政府的处理决定不服的，可以自接到处理决定通知之日起三十日内，向人民法院起诉。</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在土地所有权和使用权争议解决前，任何一方不得改变土地利用现状。</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center"/>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b/>
          <w:bCs/>
          <w:color w:val="333333"/>
          <w:spacing w:val="8"/>
          <w:sz w:val="32"/>
          <w:szCs w:val="32"/>
        </w:rPr>
        <w:t>第三章　土地利用总体规划</w:t>
      </w:r>
    </w:p>
    <w:p w:rsidR="004C6F9E" w:rsidRPr="004C6F9E" w:rsidRDefault="004C6F9E" w:rsidP="004C6F9E">
      <w:pPr>
        <w:shd w:val="clear" w:color="auto" w:fill="FFFFFF"/>
        <w:adjustRightInd/>
        <w:snapToGrid/>
        <w:spacing w:after="0" w:line="480" w:lineRule="atLeast"/>
        <w:ind w:firstLine="480"/>
        <w:jc w:val="center"/>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第十五条　各级人民政府应当依据国民经济和社会发展规划、国土整治和资源环境保护的要求、土地供给能力以及各项建设对土地的需求，组织编制土地利用总体规划。</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土地利用总体规划的规划期限由国务院规定。</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第十六条　下级土地利用总体规划应当依据上一级土地利用总体规划编制。</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地方各级人民政府编制的土地利用总体规划中的建设用地总量不得超过上一级土地利用总体规划确定的控制指标，耕地保有量不得低于上一级土地利用总体规划确定的控制指标。</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省、自治区、直辖市人民政府编制的土地利用总体规划，应当确保本行政区域内耕地总量不减少。</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第十七条　土地利用总体规划按照下列原则编制：</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（一）落实国土空间开发保护要求，严格土地用途管制；</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（二）严格保护永久基本农田，严格控制非农业建设占用农用地；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（三）提高土地节约集约利用水平；</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（四）统筹安排城乡生产、生活、生态用地，满足乡村产业和基础设施用地合理需求，促进城乡融合发展；</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（五）保护和改善生态环境，保障土地的可持续利用；</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（六）占用耕地与开发复垦耕地数量平衡、质量相当。</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第十八条　国家建立国土空间规划体系。编制国土空间规划应当坚持生态优先，绿色、可持续发展，科学有序统筹安排生态、农业、城镇等功能空间，优化国土空间结构和布局，提升国土空间开发、保护的质量和效率。</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经依法批准的国土空间规划是各类开发、保护、建设活动的基本依据。已经编制国土空间规划的，不再编制土地利用总体规划和城乡规划。</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第十九条　县级土地利用总体规划应当划分土地利用区，明确土地用途。</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乡（镇）土地利用总体规划应当划分土地利用区，根据土地使用条件，确定每一块土地的用途，并予以公告。</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第二十条　土地利用总体规划实行分级审批。</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省、自治区、直辖市的土地利用总体规划，报国务院批准。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lastRenderedPageBreak/>
        <w:t>省、自治区人民政府所在地的市、人口在一百万以上的城市以及国务院指定的城市的土地利用总体规划，经省、自治区人民政府审查同意后，报国务院批准。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本条第二款、第三款规定以外的土地利用总体规划，逐级上报省、自治区、直辖市人民政府批准；其中，乡（镇）土地利用总体规划可以由省级人民政府授权的设区的市、自治州人民政府批准。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土地利用总体规划一经批准，必须严格执行。</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第二十一条　城市建设用地规模应当符合国家规定的标准，充分利用现有建设用地，不占或者尽量少占农用地。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城市总体规划、村庄和集镇规划，应当与土地利用总体规划相衔接，城市总体规划、村庄和集镇规划中建设用地规模不得超过土地利用总体规划确定的城市和村庄、集镇建设用地规模。</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在城市规划区内、村庄和集镇规划区内，城市和村庄、集镇建设用地应当符合城市规划、村庄和集镇规划。</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第二十二条　江河、湖泊综合治理和开发利用规划，应当与土地利用总体规划相衔接。在江河、湖泊、水库的管理和保护范围以及蓄洪滞洪区内，土地利用应当符合江河、湖泊综合治理和开发利用规划，符合河道、湖泊行洪、蓄洪和输水的要求。</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第二十三条　各级人民政府应当加强土地利用计划管理，实行建设用地总量控制。</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土地利用年度计划，根据国民经济和社会发展计划、国家产业政策、土地利用总体规划以及建设用地和土地利用的实际状况编制。土地利用年度计划应当对本法第六十</w:t>
      </w:r>
      <w:r w:rsidRPr="004C6F9E">
        <w:rPr>
          <w:rFonts w:ascii="仿宋_GB2312" w:eastAsia="仿宋_GB2312" w:hAnsi="微软雅黑" w:cs="宋体" w:hint="eastAsia"/>
          <w:color w:val="333333"/>
          <w:spacing w:val="8"/>
          <w:sz w:val="32"/>
          <w:szCs w:val="32"/>
        </w:rPr>
        <w:lastRenderedPageBreak/>
        <w:t>三条规定的集体经营性建设用地作出合理安排。土地利用年度计划的编制审批程序与土地利用总体规划的编制审批程序相同，一经审批下达，必须严格执行。</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第二十四条　省、自治区、直辖市人民政府应当将土地利用年度计划的执行情况列为国民经济和社会发展计划执行情况的内容，向同级人民代表大会报告。</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第二十五条　经批准的土地利用总体规划的修改，须经原批准机关批准；未经批准，不得改变土地利用总体规划确定的土地用途。</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经国务院批准的大型能源、交通、水利等基础设施建设用地，需要改变土地利用总体规划的，根据国务院的批准文件修改土地利用总体规划。</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经省、自治区、直辖市人民政府批准的能源、交通、水利等基础设施建设用地，需要改变土地利用总体规划的，属于省级人民政府土地利用总体规划批准权限内的，根据省级人民政府的批准文件修改土地利用总体规划。</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第二十六条　国家建立土地调查制度。</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县级以上人民政府自然资源主管部门会同同级有关部门进行土地调查。土地所有者或者使用者应当配合调查，并提供有关资料。</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第二十七条　县级以上人民政府自然资源主管部门会同同级有关部门根据土地调查成果、规划土地用途和国家制定的统一标准，评定土地等级。</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第二十八条　国家建立土地统计制度。</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lastRenderedPageBreak/>
        <w:t>县级以上人民政府统计机构和自然资源主管部门依法进行土地统计调查，定期发布土地统计资料。土地所有者或者使用者应当提供有关资料，不得拒报、迟报，不得提供不真实、不完整的资料。</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统计机构和自然资源主管部门共同发布的土地面积统计资料是各级人民政府编制土地利用总体规划的依据。</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第二十九条　国家建立全国土地管理信息系统，对土地利用状况进行动态监测。</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b/>
          <w:bCs/>
          <w:color w:val="333333"/>
          <w:spacing w:val="8"/>
          <w:sz w:val="32"/>
          <w:szCs w:val="32"/>
        </w:rPr>
        <w:t>第四章　耕</w:t>
      </w:r>
      <w:r w:rsidRPr="004C6F9E">
        <w:rPr>
          <w:rFonts w:ascii="仿宋_GB2312" w:eastAsia="仿宋_GB2312" w:hAnsi="微软雅黑" w:cs="宋体" w:hint="eastAsia"/>
          <w:b/>
          <w:bCs/>
          <w:color w:val="333333"/>
          <w:spacing w:val="8"/>
          <w:sz w:val="32"/>
          <w:szCs w:val="32"/>
        </w:rPr>
        <w:t> </w:t>
      </w:r>
      <w:r w:rsidRPr="004C6F9E">
        <w:rPr>
          <w:rFonts w:ascii="仿宋_GB2312" w:eastAsia="仿宋_GB2312" w:hAnsi="微软雅黑" w:cs="宋体" w:hint="eastAsia"/>
          <w:b/>
          <w:bCs/>
          <w:color w:val="333333"/>
          <w:spacing w:val="8"/>
          <w:sz w:val="32"/>
          <w:szCs w:val="32"/>
        </w:rPr>
        <w:t>地</w:t>
      </w:r>
      <w:r w:rsidRPr="004C6F9E">
        <w:rPr>
          <w:rFonts w:ascii="仿宋_GB2312" w:eastAsia="仿宋_GB2312" w:hAnsi="微软雅黑" w:cs="宋体" w:hint="eastAsia"/>
          <w:b/>
          <w:bCs/>
          <w:color w:val="333333"/>
          <w:spacing w:val="8"/>
          <w:sz w:val="32"/>
          <w:szCs w:val="32"/>
        </w:rPr>
        <w:t> </w:t>
      </w:r>
      <w:r w:rsidRPr="004C6F9E">
        <w:rPr>
          <w:rFonts w:ascii="仿宋_GB2312" w:eastAsia="仿宋_GB2312" w:hAnsi="微软雅黑" w:cs="宋体" w:hint="eastAsia"/>
          <w:b/>
          <w:bCs/>
          <w:color w:val="333333"/>
          <w:spacing w:val="8"/>
          <w:sz w:val="32"/>
          <w:szCs w:val="32"/>
        </w:rPr>
        <w:t>保</w:t>
      </w:r>
      <w:r w:rsidRPr="004C6F9E">
        <w:rPr>
          <w:rFonts w:ascii="仿宋_GB2312" w:eastAsia="仿宋_GB2312" w:hAnsi="微软雅黑" w:cs="宋体" w:hint="eastAsia"/>
          <w:b/>
          <w:bCs/>
          <w:color w:val="333333"/>
          <w:spacing w:val="8"/>
          <w:sz w:val="32"/>
          <w:szCs w:val="32"/>
        </w:rPr>
        <w:t> </w:t>
      </w:r>
      <w:r w:rsidRPr="004C6F9E">
        <w:rPr>
          <w:rFonts w:ascii="仿宋_GB2312" w:eastAsia="仿宋_GB2312" w:hAnsi="微软雅黑" w:cs="宋体" w:hint="eastAsia"/>
          <w:b/>
          <w:bCs/>
          <w:color w:val="333333"/>
          <w:spacing w:val="8"/>
          <w:sz w:val="32"/>
          <w:szCs w:val="32"/>
        </w:rPr>
        <w:t>护</w:t>
      </w:r>
    </w:p>
    <w:p w:rsidR="004C6F9E" w:rsidRPr="004C6F9E" w:rsidRDefault="004C6F9E" w:rsidP="004C6F9E">
      <w:pPr>
        <w:shd w:val="clear" w:color="auto" w:fill="FFFFFF"/>
        <w:adjustRightInd/>
        <w:snapToGrid/>
        <w:spacing w:after="0" w:line="480" w:lineRule="atLeast"/>
        <w:ind w:firstLine="480"/>
        <w:jc w:val="center"/>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第三十条　国家保护耕地，严格控制耕地转为非耕地。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国家实行占用耕地补偿制度。非农业建设经批准占用耕地的，按照“占多少，垦多少”的原则，由占用耕地的单位负责开垦与所占用耕地的数量和质量相当的耕地；没有条件开垦或者开垦的耕地不符合要求的，应当按照省、自治区、直辖市的规定缴纳耕地开垦费，专款用于开垦新的耕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省、自治区、直辖市人民政府应当制定开垦耕地计划，监督占用耕地的单位按照计划开垦耕地或者按照计划组织开垦耕地，并进行验收。</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第三十一条　县级以上地方人民政府可以要求占用耕地的单位将所占用耕地耕作层的土壤用于新开垦耕地、劣质地或者其他耕地的土壤改良。</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第三十二条　省、自治区、直辖市人民政府应当严格执行土地利用总体规划和土地利用年度计划，采取措施，</w:t>
      </w:r>
      <w:r w:rsidRPr="004C6F9E">
        <w:rPr>
          <w:rFonts w:ascii="仿宋_GB2312" w:eastAsia="仿宋_GB2312" w:hAnsi="微软雅黑" w:cs="宋体" w:hint="eastAsia"/>
          <w:color w:val="333333"/>
          <w:spacing w:val="8"/>
          <w:sz w:val="32"/>
          <w:szCs w:val="32"/>
        </w:rPr>
        <w:lastRenderedPageBreak/>
        <w:t>确保本行政区域内耕地总量不减少、质量不降低。耕地总量减少的，由国务院责令在规定期限内组织开垦与所减少耕地的数量与质量相当的耕地；耕地质量降低的，由国务院责令在规定期限内组织整治。新开垦和整治的耕地由国务院自然资源主管部门会同农业农村主管部门验收。</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个别省、直辖市确因土地后备资源匮乏，新增建设用地后，新开垦耕地的数量不足以补偿所占用耕地的数量的，必须报经国务院批准减免本行政区域内开垦耕地的数量，易地开垦数量和质量相当的耕地。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第三十三条　国家实行永久基本农田保护制度。下列耕地应当根据土地利用总体规划划为永久基本农田，实行严格保护：</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（一）经国务院农业农村主管部门或者县级以上地方人民政府批准确定的粮、棉、油、糖等重要农产品生产基地内的耕地；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（二）有良好的水利与水土保持设施的耕地，正在实施改造计划以及可以改造的中、低产田和已建成的高标准农田；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（三）蔬菜生产基地；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（四）农业科研、教学试验田；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（五）国务院规定应当划为永久基本农田的其他耕地。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各省、自治区、直辖市划定的永久基本农田一般应当占本行政区域内耕地的百分之八十以上，具体比例由国务院根据各省、自治区、直辖市耕地实际情况规定。</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第三十四条　永久基本农田划定以乡（镇）为单位进行，由县级人民政府自然资源主管部门会同同级农业农村</w:t>
      </w:r>
      <w:r w:rsidRPr="004C6F9E">
        <w:rPr>
          <w:rFonts w:ascii="仿宋_GB2312" w:eastAsia="仿宋_GB2312" w:hAnsi="微软雅黑" w:cs="宋体" w:hint="eastAsia"/>
          <w:color w:val="333333"/>
          <w:spacing w:val="8"/>
          <w:sz w:val="32"/>
          <w:szCs w:val="32"/>
        </w:rPr>
        <w:lastRenderedPageBreak/>
        <w:t>主管部门组织实施。永久基本农田应当落实到地块，纳入国家永久基本农田数据库严格管理。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乡（镇）人民政府应当将永久基本农田的位置、范围向社会公告，并设立保护标志。</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第三十五条　永久基本农田经依法划定后，任何单位和个人不得擅自占用或者改变其用途。国家能源、交通、水利、军事设施等重点建设项目选址确实难以避让永久基本农田，涉及农用地转用或者土地征收的，必须经国务院批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禁止通过擅自调整县级土地利用总体规划、乡（镇）土地利用总体规划等方式规避永久基本农田农用地转用或者土地征收的审批。</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第三十六条　各级人民政府应当采取措施，引导因地制宜轮作休耕，改良土壤，提高地力，维护排灌工程设施，防止土地荒漠化、盐渍化、水土流失和土壤污染。</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第三十七条　非农业建设必须节约使用土地，可以利用荒地的，不得占用耕地；可以利用劣地的，不得占用好地。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禁止占用耕地建窑、建坟或者擅自在耕地上建房、挖砂、采石、采矿、取土等。</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禁止占用永久基本农田发展林果业和挖塘养鱼。</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第三十八条　禁止任何单位和个人闲置、荒芜耕地。已经办理审批手续的非农业建设占用耕地，一年内不用而又可以耕种并收获的，应当由原耕种该幅耕地的集体或者个人恢复耕种，也可以由用地单位组织耕种；一年以上未</w:t>
      </w:r>
      <w:r w:rsidRPr="004C6F9E">
        <w:rPr>
          <w:rFonts w:ascii="仿宋_GB2312" w:eastAsia="仿宋_GB2312" w:hAnsi="微软雅黑" w:cs="宋体" w:hint="eastAsia"/>
          <w:color w:val="333333"/>
          <w:spacing w:val="8"/>
          <w:sz w:val="32"/>
          <w:szCs w:val="32"/>
        </w:rPr>
        <w:lastRenderedPageBreak/>
        <w:t>动工建设的，应当按照省、自治区、直辖市的规定缴纳闲置费；连续二年未使用的，经原批准机关批准，由县级以上人民政府无偿收回用地单位的土地使用权；该幅土地原为农民集体所有的，应当交由原农村集体经济组织恢复耕种。</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在城市规划区范围内，以出让方式取得土地使用权进行房地产开发的闲置土地，依照《中华人民共和国城市房地产管理法》的有关规定办理。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第三十九条　国家鼓励单位和个人按照土地利用总体规划，在保护和改善生态环境、防止水土流失和土地荒漠化的前提下，开发未利用的土地；适宜开发为农用地的，应当优先开发成农用地。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国家依法保护开发者的合法权益。</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第四十条　开垦未利用的土地，必须经过科学论证和评估，在土地利用总体规划划定的可开垦的区域内，经依法批准后进行。禁止毁坏森林、草原开垦耕地，禁止围湖造田和侵占江河滩地。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根据土地利用总体规划，对破坏生态环境开垦、围垦的土地，有计划有步骤地退耕还林、还牧、还湖。</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第四十一条　开发未确定使用权的国有荒山、荒地、荒滩从事种植业、林业、畜牧业、渔业生产的，经县级以上人民政府依法批准，可以确定给开发单位或者个人长期使用。</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第四十二条　国家鼓励土地整理。县、乡（镇）人民政府应当组织农村集体经济组织，按照土地利用总体规划，</w:t>
      </w:r>
      <w:r w:rsidRPr="004C6F9E">
        <w:rPr>
          <w:rFonts w:ascii="仿宋_GB2312" w:eastAsia="仿宋_GB2312" w:hAnsi="微软雅黑" w:cs="宋体" w:hint="eastAsia"/>
          <w:color w:val="333333"/>
          <w:spacing w:val="8"/>
          <w:sz w:val="32"/>
          <w:szCs w:val="32"/>
        </w:rPr>
        <w:lastRenderedPageBreak/>
        <w:t>对田、水、路、林、村综合整治，提高耕地质量，增加有效耕地面积，改善农业生产条件和生态环境。</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地方各级人民政府应当采取措施，改造中、低产田，整治闲散地和废弃地。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第四十三条　因挖损、塌陷、压占等造成土地破坏，用地单位和个人应当按照国家有关规定负责复垦；没有条件复垦或者复垦不符合要求的，应当缴纳土地复垦费，专项用于土地复垦。复垦的土地应当优先用于农业。</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b/>
          <w:bCs/>
          <w:color w:val="333333"/>
          <w:spacing w:val="8"/>
          <w:sz w:val="32"/>
          <w:szCs w:val="32"/>
        </w:rPr>
        <w:t>第五章　建</w:t>
      </w:r>
      <w:r w:rsidRPr="004C6F9E">
        <w:rPr>
          <w:rFonts w:ascii="仿宋_GB2312" w:eastAsia="仿宋_GB2312" w:hAnsi="微软雅黑" w:cs="宋体" w:hint="eastAsia"/>
          <w:b/>
          <w:bCs/>
          <w:color w:val="333333"/>
          <w:spacing w:val="8"/>
          <w:sz w:val="32"/>
          <w:szCs w:val="32"/>
        </w:rPr>
        <w:t> </w:t>
      </w:r>
      <w:r w:rsidRPr="004C6F9E">
        <w:rPr>
          <w:rFonts w:ascii="仿宋_GB2312" w:eastAsia="仿宋_GB2312" w:hAnsi="微软雅黑" w:cs="宋体" w:hint="eastAsia"/>
          <w:b/>
          <w:bCs/>
          <w:color w:val="333333"/>
          <w:spacing w:val="8"/>
          <w:sz w:val="32"/>
          <w:szCs w:val="32"/>
        </w:rPr>
        <w:t>设</w:t>
      </w:r>
      <w:r w:rsidRPr="004C6F9E">
        <w:rPr>
          <w:rFonts w:ascii="仿宋_GB2312" w:eastAsia="仿宋_GB2312" w:hAnsi="微软雅黑" w:cs="宋体" w:hint="eastAsia"/>
          <w:b/>
          <w:bCs/>
          <w:color w:val="333333"/>
          <w:spacing w:val="8"/>
          <w:sz w:val="32"/>
          <w:szCs w:val="32"/>
        </w:rPr>
        <w:t> </w:t>
      </w:r>
      <w:r w:rsidRPr="004C6F9E">
        <w:rPr>
          <w:rFonts w:ascii="仿宋_GB2312" w:eastAsia="仿宋_GB2312" w:hAnsi="微软雅黑" w:cs="宋体" w:hint="eastAsia"/>
          <w:b/>
          <w:bCs/>
          <w:color w:val="333333"/>
          <w:spacing w:val="8"/>
          <w:sz w:val="32"/>
          <w:szCs w:val="32"/>
        </w:rPr>
        <w:t>用</w:t>
      </w:r>
      <w:r w:rsidRPr="004C6F9E">
        <w:rPr>
          <w:rFonts w:ascii="仿宋_GB2312" w:eastAsia="仿宋_GB2312" w:hAnsi="微软雅黑" w:cs="宋体" w:hint="eastAsia"/>
          <w:b/>
          <w:bCs/>
          <w:color w:val="333333"/>
          <w:spacing w:val="8"/>
          <w:sz w:val="32"/>
          <w:szCs w:val="32"/>
        </w:rPr>
        <w:t> </w:t>
      </w:r>
      <w:r w:rsidRPr="004C6F9E">
        <w:rPr>
          <w:rFonts w:ascii="仿宋_GB2312" w:eastAsia="仿宋_GB2312" w:hAnsi="微软雅黑" w:cs="宋体" w:hint="eastAsia"/>
          <w:b/>
          <w:bCs/>
          <w:color w:val="333333"/>
          <w:spacing w:val="8"/>
          <w:sz w:val="32"/>
          <w:szCs w:val="32"/>
        </w:rPr>
        <w:t>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第四十四条　建设占用土地，涉及农用地转为建设用地的，应当办理农用地转用审批手续。</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永久基本农田转为建设用地的，由国务院批准。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在土地利用总体规划确定的城市和村庄、集镇建设用地规模范围内，为实施该规划而将永久基本农田以外的农用地转为建设用地的，按土地利用年度计划分批次按照国务院规定由原批准土地利用总体规划的机关或者其授权的机关批准。在已批准的农用地转用范围内，具体建设项目用地可以由市、县人民政府批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在土地利用总体规划确定的城市和村庄、集镇建设用地规模范围外，将永久基本农田以外的农用地转为建设用地的，由国务院或者国务院授权的省、自治区、直辖市人民政府批准。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第四十五条　为了公共利益的需要，有下列情形之一，确需征收农民集体所有的土地的，可以依法实施征收：</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（一）军事和外交需要用地的；</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lastRenderedPageBreak/>
        <w:t>（二）由政府组织实施的能源、交通、水利、通信、邮政等基础设施建设需要用地的；</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（三）由政府组织实施的科技、教育、文化、卫生、体育、生态环境和资源保护、防灾减灾、文物保护、社区综合服务、社会福利、市政公用、优抚安置、英烈保护等公共事业需要用地的；</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（四）由政府组织实施的扶贫搬迁、保障性安居工程建设需要用地的；</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（五）在土地利用总体规划确定的城镇建设用地范围内，经省级以上人民政府批准由县级以上地方人民政府组织实施的成片开发建设需要用地的；</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（六）法律规定为公共利益需要可以征收农民集体所有的土地的其他情形。</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前款规定的建设活动，应当符合国民经济和社会发展规划、土地利用总体规划、城乡规划和专项规划；第（四）项、第（五）项规定的建设活动，还应当纳入国民经济和社会发展年度计划；第（五）项规定的成片开发并应当符合国务院自然资源主管部门规定的标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第四十六条　征收下列土地的，由国务院批准：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（一）永久基本农田；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（二）永久基本农田以外的耕地超过三十五公顷的；</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（三）其他土地超过七十公顷的。</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征收前款规定以外的土地的，由省、自治区、直辖市人民政府批准。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征收农用地的，应当依照本法第四十四条的规定先行办理农用地转用审批。其中，经国务院批准农用地转用的，同时办理征地审批手续，不再另行办理征地审批；经省、自治区、直辖市人民政府在征地批准权限内批准农用地转</w:t>
      </w:r>
      <w:r w:rsidRPr="004C6F9E">
        <w:rPr>
          <w:rFonts w:ascii="仿宋_GB2312" w:eastAsia="仿宋_GB2312" w:hAnsi="微软雅黑" w:cs="宋体" w:hint="eastAsia"/>
          <w:color w:val="333333"/>
          <w:spacing w:val="8"/>
          <w:sz w:val="32"/>
          <w:szCs w:val="32"/>
        </w:rPr>
        <w:lastRenderedPageBreak/>
        <w:t>用的，同时办理征地审批手续，不再另行办理征地审批，超过征地批准权限的，应当依照本条第一款的规定另行办理征地审批。</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第四十七条　国家征收土地的，依照法定程序批准后，由县级以上地方人民政府予以公告并组织实施。</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县级以上地方人民政府拟申请征收土地的，应当开展拟征收土地现状调查和社会稳定风险评估，并将征收范围、土地现状、征收目的、补偿标准、安置方式和社会保障等在拟征收土地所在的乡（镇）和村、村民小组范围内公告至少三十日，听取被征地的农村集体经济组织及其成员、村民委员会和其他利害关系人的意见。</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多数被征地的农村集体经济组织成员认为征地补偿安置方案不符合法律、法规规定的，县级以上地方人民政府应当组织召开听证会，并根据法律、法规的规定和听证会情况修改方案。</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拟征收土地的所有权人、使用权人应当在公告规定期限内，持不动产权属证明材料办理补偿登记。县级以上地方人民政府应当组织有关部门测算并落实有关费用，保证足额到位，与拟征收土地的所有权人、使用权人就补偿、安置等签订协议；个别确实难以达成协议的，应当在申请征收土地时如实说明。</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相关前期工作完成后，县级以上地方人民政府方可申请征收土地。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第四十八条　征收土地应当给予公平、合理的补偿，保障被征地农民原有生活水平不降低、长远生计有保障。</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lastRenderedPageBreak/>
        <w:t>征收土地应当依法及时足额支付土地补偿费、安置补助费以及农村村民住宅、其他地上附着物和青苗等的补偿费用，并安排被征地农民的社会保障费用。</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征收农用地的土地补偿费、安置补助费标准由省、自治区、直辖市通过制定公布区片综合地价确定。制定区片综合地价应当综合考虑土地原用途、土地资源条件、土地产值、土地区位、土地供求关系、人口以及经济社会发展水平等因素，并至少每三年调整或者重新公布一次。</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征收农用地以外的其他土地、地上附着物和青苗等的补偿标准，由省、自治区、直辖市制定。对其中的农村村民住宅，应当按照先补偿后搬迁、居住条件有改善的原则，尊重农村村民意愿，采取重新安排宅基地建房、提供安置房或者货币补偿等方式给予公平、合理的补偿，并对因征收造成的搬迁、临时安置等费用予以补偿，保障农村村民居住的权利和合法的住房财产权益。</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县级以上地方人民政府应当将被征地农民纳入相应的养老等社会保障体系。被征地农民的社会保障费用主要用于符合条件的被征地农民的养老保险等社会保险缴费补贴。被征地农民社会保障费用的筹集、管理和使用办法，由省、自治区、直辖市制定。</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第四十九条　被征地的农村集体经济组织应当将征收土地的补偿费用的收支状况向本集体经济组织的成员公布，接受监督。</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禁止侵占、挪用被征收土地单位的征地补偿费用和其他有关费用。</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第五十条　地方各级人民政府应当支持被征地的农村集体经济组织和农民从事开发经营，兴办企业。</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第五十一条　大中型水利、水电工程建设征收土地的补偿费标准和移民安置办法，由国务院另行规定。</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第五十二条　建设项目可行性研究论证时，自然资源主管部门可以根据土地利用总体规划、土地利用年度计划和建设用地标准，对建设用地有关事项进行审查，并提出意见。</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第五十三条　经批准的建设项目需要使用国有建设用地的，建设单位应当持法律、行政法规规定的有关文件，向有批准权的县级以上人民政府自然资源主管部门提出建设用地申请，经自然资源主管部门审查，报本级人民政府批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第五十四条　建设单位使用国有土地，应当以出让等有偿使用方式取得；但是，下列建设用地，经县级以上人民政府依法批准，可以以划拨方式取得：</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（一）国家机关用地和军事用地；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（二）城市基础设施用地和公益事业用地；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（三）国家重点扶持的能源、交通、水利等基础设施用地；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（四）法律、行政法规规定的其他用地。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第五十五条　以出让等有偿使用方式取得国有土地使用权的建设单位，按照国务院规定的标准和办法，缴纳土地使用权出让金等土地有偿使用费和其他费用后，方可使用土地。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lastRenderedPageBreak/>
        <w:t>自本法施行之日起，新增建设用地的土地有偿使用费，百分之三十上缴中央财政，百分之七十留给有关地方人民政府。具体使用管理办法由国务院财政部门会同有关部门制定，并报国务院批准。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第五十六条　建设单位使用国有土地的，应当按照土地使用权出让等有偿使用合同的约定或者土地使用权划拨批准文件的规定使用土地；确需改变该幅土地建设用途的，应当经有关人民政府自然资源主管部门同意，报原批准用地的人民政府批准。其中，在城市规划区内改变土地用途的，在报批前，应当先经有关城市规划行政主管部门同意。</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第五十七条　建设项目施工和地质勘查需要临时使用国有土地或者农民集体所有的土地的，由县级以上人民政府自然资源主管部门批准。其中，在城市规划区内的临时用地，在报批前，应当先经有关城市规划行政主管部门同意。土地使用者应当根据土地权属，与有关自然资源主管部门或者农村集体经济组织、村民委员会签订临时使用土地合同，并按照合同的约定支付临时使用土地补偿费。</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临时使用土地的使用者应当按照临时使用土地合同约定的用途使用土地，并不得修建永久性建筑物。</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临时使用土地期限一般不超过二年。</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第五十八条　有下列情形之一的，由有关人民政府自然资源主管部门报经原批准用地的人民政府或者有批准权的人民政府批准，可以收回国有土地使用权：</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（一）为实施城市规划进行旧城区改建以及其他公共利益需要，确需使用土地的；</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lastRenderedPageBreak/>
        <w:t>（二）土地出让等有偿使用合同约定的使用期限届满，土地使用者未申请续期或者申请续期未获批准的；</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（三）因单位撤销、迁移等原因，停止使用原划拨的国有土地的；</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（四）公路、铁路、机场、矿场等经核准报废的。</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依照前款第（一）项的规定收回国有土地使用权的，对土地使用权人应当给予适当补偿。</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第五十九条　乡镇企业、乡（镇）村公共设施、公益事业、农村村民住宅等乡（镇）村建设，应当按照村庄和集镇规划，合理布局，综合开发，配套建设；建设用地，应当符合乡（镇）土地利用总体规划和土地利用年度计划，并依照本法第四十四条、第六十条、第六十一条、第六十二条的规定办理审批手续。</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第六十条　农村集体经济组织使用乡（镇）土地利用总体规划确定的建设用地兴办企业或者与其他单位、个人以土地使用权入股、联营等形式共同举办企业的，应当持有关批准文件，向县级以上地方人民政府自然资源主管部门提出申请，按照省、自治区、直辖市规定的批准权限，由县级以上地方人民政府批准；其中，涉及占用农用地的，依照本法第四十四条的规定办理审批手续。</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按照前款规定兴办企业的建设用地，必须严格控制。省、自治区、直辖市可以按照乡镇企业的不同行业和经营规模，分别规定用地标准。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第六十一条　乡（镇）村公共设施、公益事业建设，需要使用土地的，经乡（镇）人民政府审核，向县级以上地方人民政府自然资源主管部门提出申请，按照省、自治</w:t>
      </w:r>
      <w:r w:rsidRPr="004C6F9E">
        <w:rPr>
          <w:rFonts w:ascii="仿宋_GB2312" w:eastAsia="仿宋_GB2312" w:hAnsi="微软雅黑" w:cs="宋体" w:hint="eastAsia"/>
          <w:color w:val="333333"/>
          <w:spacing w:val="8"/>
          <w:sz w:val="32"/>
          <w:szCs w:val="32"/>
        </w:rPr>
        <w:lastRenderedPageBreak/>
        <w:t>区、直辖市规定的批准权限，由县级以上地方人民政府批准；其中，涉及占用农用地的，依照本法第四十四条的规定办理审批手续。</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第六十二条　农村村民一户只能拥有一处宅基地，其宅基地的面积不得超过省、自治区、直辖市规定的标准。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人均土地少、不能保障一户拥有一处宅基地的地区，县级人民政府在充分尊重农村村民意愿的基础上，可以采取措施，按照省、自治区、直辖市规定的标准保障农村村民实现户有所居。</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农村村民建住宅，应当符合乡（镇）土地利用总体规划、村庄规划，不得占用永久基本农田，并尽量使用原有的宅基地和村内空闲地。编制乡（镇）土地利用总体规划、村庄规划应当统筹并合理安排宅基地用地，改善农村村民居住环境和条件。</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农村村民住宅用地，由乡（镇）人民政府审核批准；其中，涉及占用农用地的，依照本法第四十四条的规定办理审批手续。</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农村村民出卖、出租、赠与住宅后，再申请宅基地的，不予批准。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国家允许进城落户的农村村民依法自愿有偿退出宅基地，鼓励农村集体经济组织及其成员盘活利用闲置宅基地和闲置住宅。</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国务院农业农村主管部门负责全国农村宅基地改革和管理有关工作。</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第六十三条　土地利用总体规划、城乡规划确定为工业、商业等经营性用途，并经依法登记的集体经营性建设用地，土地所有权人可以通过出让、出租等方式交由单位</w:t>
      </w:r>
      <w:r w:rsidRPr="004C6F9E">
        <w:rPr>
          <w:rFonts w:ascii="仿宋_GB2312" w:eastAsia="仿宋_GB2312" w:hAnsi="微软雅黑" w:cs="宋体" w:hint="eastAsia"/>
          <w:color w:val="333333"/>
          <w:spacing w:val="8"/>
          <w:sz w:val="32"/>
          <w:szCs w:val="32"/>
        </w:rPr>
        <w:lastRenderedPageBreak/>
        <w:t>或者个人使用，并应当签订书面合同，载明土地界址、面积、动工期限、使用期限、土地用途、规划条件和双方其他权利义务。</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前款规定的集体经营性建设用地出让、出租等，应当经本集体经济组织成员的村民会议三分之二以上成员或者三分之二以上村民代表的同意。</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通过出让等方式取得的集体经营性建设用地使用权可以转让、互换、出资、赠与或者抵押，但法律、行政法规另有规定或者土地所有权人、土地使用权人签订的书面合同另有约定的除外。</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集体经营性建设用地的出租，集体建设用地使用权的出让及其最高年限、转让、互换、出资、赠与、抵押等，参照同类用途的国有建设用地执行。具体办法由国务院制定。</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第六十四条　集体建设用地的使用者应当严格按照土地利用总体规划、城乡规划确定的用途使用土地。</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第六十五条　在土地利用总体规划制定前已建的不符合土地利用总体规划确定的用途的建筑物、构筑物，不得重建、扩建。</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第六十六条　有下列情形之一的，农村集体经济组织报经原批准用地的人民政府批准，可以收回土地使用权：</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（一）为乡（镇）村公共设施和公益事业建设，需要使用土地的；</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（二）不按照批准的用途使用土地的；</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（三）因撤销、迁移等原因而停止使用土地的。</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lastRenderedPageBreak/>
        <w:t>依照前款第（一）项规定收回农民集体所有的土地的，对土地使用权人应当给予适当补偿。</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收回集体经营性建设用地使用权，依照双方签订的书面合同办理，法律、行政法规另有规定的除外。</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b/>
          <w:bCs/>
          <w:color w:val="333333"/>
          <w:spacing w:val="8"/>
          <w:sz w:val="32"/>
          <w:szCs w:val="32"/>
        </w:rPr>
        <w:t>第六章　监</w:t>
      </w:r>
      <w:r w:rsidRPr="004C6F9E">
        <w:rPr>
          <w:rFonts w:ascii="仿宋_GB2312" w:eastAsia="仿宋_GB2312" w:hAnsi="微软雅黑" w:cs="宋体" w:hint="eastAsia"/>
          <w:b/>
          <w:bCs/>
          <w:color w:val="333333"/>
          <w:spacing w:val="8"/>
          <w:sz w:val="32"/>
          <w:szCs w:val="32"/>
        </w:rPr>
        <w:t> </w:t>
      </w:r>
      <w:r w:rsidRPr="004C6F9E">
        <w:rPr>
          <w:rFonts w:ascii="仿宋_GB2312" w:eastAsia="仿宋_GB2312" w:hAnsi="微软雅黑" w:cs="宋体" w:hint="eastAsia"/>
          <w:b/>
          <w:bCs/>
          <w:color w:val="333333"/>
          <w:spacing w:val="8"/>
          <w:sz w:val="32"/>
          <w:szCs w:val="32"/>
        </w:rPr>
        <w:t>督</w:t>
      </w:r>
      <w:r w:rsidRPr="004C6F9E">
        <w:rPr>
          <w:rFonts w:ascii="仿宋_GB2312" w:eastAsia="仿宋_GB2312" w:hAnsi="微软雅黑" w:cs="宋体" w:hint="eastAsia"/>
          <w:b/>
          <w:bCs/>
          <w:color w:val="333333"/>
          <w:spacing w:val="8"/>
          <w:sz w:val="32"/>
          <w:szCs w:val="32"/>
        </w:rPr>
        <w:t> </w:t>
      </w:r>
      <w:r w:rsidRPr="004C6F9E">
        <w:rPr>
          <w:rFonts w:ascii="仿宋_GB2312" w:eastAsia="仿宋_GB2312" w:hAnsi="微软雅黑" w:cs="宋体" w:hint="eastAsia"/>
          <w:b/>
          <w:bCs/>
          <w:color w:val="333333"/>
          <w:spacing w:val="8"/>
          <w:sz w:val="32"/>
          <w:szCs w:val="32"/>
        </w:rPr>
        <w:t>检</w:t>
      </w:r>
      <w:r w:rsidRPr="004C6F9E">
        <w:rPr>
          <w:rFonts w:ascii="仿宋_GB2312" w:eastAsia="仿宋_GB2312" w:hAnsi="微软雅黑" w:cs="宋体" w:hint="eastAsia"/>
          <w:b/>
          <w:bCs/>
          <w:color w:val="333333"/>
          <w:spacing w:val="8"/>
          <w:sz w:val="32"/>
          <w:szCs w:val="32"/>
        </w:rPr>
        <w:t> </w:t>
      </w:r>
      <w:r w:rsidRPr="004C6F9E">
        <w:rPr>
          <w:rFonts w:ascii="仿宋_GB2312" w:eastAsia="仿宋_GB2312" w:hAnsi="微软雅黑" w:cs="宋体" w:hint="eastAsia"/>
          <w:b/>
          <w:bCs/>
          <w:color w:val="333333"/>
          <w:spacing w:val="8"/>
          <w:sz w:val="32"/>
          <w:szCs w:val="32"/>
        </w:rPr>
        <w:t>查</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第六十七条　县级以上人民政府自然资源主管部门对违反土地管理法律、法规的行为进行监督检查。</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县级以上人民政府农业农村主管部门对违反农村宅基地管理法律、法规的行为进行监督检查的，适用本法关于自然资源主管部门监督检查的规定。</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土地管理监督检查人员应当熟悉土地管理法律、法规，忠于职守、秉公执法。</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第六十八条　县级以上人民政府自然资源主管部门履行监督检查职责时，有权采取下列措施：</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（一）要求被检查的单位或者个人提供有关土地权利的文件和资料，进行查阅或者予以复制；</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（二）要求被检查的单位或者个人就有关土地权利的问题作出说明；</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（三）进入被检查单位或者个人非法占用的土地现场进行勘测；</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（四）责令非法占用土地的单位或者个人停止违反土地管理法律、法规的行为。</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第六十九条　土地管理监督检查人员履行职责，需要进入现场进行勘测、要求有关单位或者个人提供文件、资料和作出说明的，应当出示土地管理监督检查证件。</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第七十条　有关单位和个人对县级以上人民政府自然资源主管部门就土地违法行为进行的监督检查应当支持与配合，并提供工作方便，不得拒绝与阻碍土地管理监督检查人员依法执行职务。</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第七十一条　县级以上人民政府自然资源主管部门在监督检查工作中发现国家工作人员的违法行为，依法应当给予处分的，应当依法予以处理；自己无权处理的，应当依法移送监察机关或者有关机关处理。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第七十二条　县级以上人民政府自然资源主管部门在监督检查工作中发现土地违法行为构成犯罪的，应当将案件移送有关机关，依法追究刑事责任；尚不构成犯罪的，应当依法给予行政处罚。</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第七十三条　依照本法规定应当给予行政处罚，而有关自然资源主管部门不给予行政处罚的，上级人民政府自然资源主管部门有权责令有关自然资源主管部门作出行政处罚决定或者直接给予行政处罚，并给予有关自然资源主管部门的负责人处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b/>
          <w:bCs/>
          <w:color w:val="333333"/>
          <w:spacing w:val="8"/>
          <w:sz w:val="32"/>
          <w:szCs w:val="32"/>
        </w:rPr>
        <w:t>第七章　法</w:t>
      </w:r>
      <w:r w:rsidRPr="004C6F9E">
        <w:rPr>
          <w:rFonts w:ascii="仿宋_GB2312" w:eastAsia="仿宋_GB2312" w:hAnsi="微软雅黑" w:cs="宋体" w:hint="eastAsia"/>
          <w:b/>
          <w:bCs/>
          <w:color w:val="333333"/>
          <w:spacing w:val="8"/>
          <w:sz w:val="32"/>
          <w:szCs w:val="32"/>
        </w:rPr>
        <w:t> </w:t>
      </w:r>
      <w:r w:rsidRPr="004C6F9E">
        <w:rPr>
          <w:rFonts w:ascii="仿宋_GB2312" w:eastAsia="仿宋_GB2312" w:hAnsi="微软雅黑" w:cs="宋体" w:hint="eastAsia"/>
          <w:b/>
          <w:bCs/>
          <w:color w:val="333333"/>
          <w:spacing w:val="8"/>
          <w:sz w:val="32"/>
          <w:szCs w:val="32"/>
        </w:rPr>
        <w:t>律</w:t>
      </w:r>
      <w:r w:rsidRPr="004C6F9E">
        <w:rPr>
          <w:rFonts w:ascii="仿宋_GB2312" w:eastAsia="仿宋_GB2312" w:hAnsi="微软雅黑" w:cs="宋体" w:hint="eastAsia"/>
          <w:b/>
          <w:bCs/>
          <w:color w:val="333333"/>
          <w:spacing w:val="8"/>
          <w:sz w:val="32"/>
          <w:szCs w:val="32"/>
        </w:rPr>
        <w:t> </w:t>
      </w:r>
      <w:r w:rsidRPr="004C6F9E">
        <w:rPr>
          <w:rFonts w:ascii="仿宋_GB2312" w:eastAsia="仿宋_GB2312" w:hAnsi="微软雅黑" w:cs="宋体" w:hint="eastAsia"/>
          <w:b/>
          <w:bCs/>
          <w:color w:val="333333"/>
          <w:spacing w:val="8"/>
          <w:sz w:val="32"/>
          <w:szCs w:val="32"/>
        </w:rPr>
        <w:t>责</w:t>
      </w:r>
      <w:r w:rsidRPr="004C6F9E">
        <w:rPr>
          <w:rFonts w:ascii="仿宋_GB2312" w:eastAsia="仿宋_GB2312" w:hAnsi="微软雅黑" w:cs="宋体" w:hint="eastAsia"/>
          <w:b/>
          <w:bCs/>
          <w:color w:val="333333"/>
          <w:spacing w:val="8"/>
          <w:sz w:val="32"/>
          <w:szCs w:val="32"/>
        </w:rPr>
        <w:t> </w:t>
      </w:r>
      <w:r w:rsidRPr="004C6F9E">
        <w:rPr>
          <w:rFonts w:ascii="仿宋_GB2312" w:eastAsia="仿宋_GB2312" w:hAnsi="微软雅黑" w:cs="宋体" w:hint="eastAsia"/>
          <w:b/>
          <w:bCs/>
          <w:color w:val="333333"/>
          <w:spacing w:val="8"/>
          <w:sz w:val="32"/>
          <w:szCs w:val="32"/>
        </w:rPr>
        <w:t>任</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第七十四条　买卖或者以其他形式非法转让土地的，由县级以上人民政府自然资源主管部门没收违法所得；对违反土地利用总体规划擅自将农用地改为建设用地的，限期拆除在非法转让的土地上新建的建筑物和其他设施，恢复土地原状，对符合土地利用总体规划的，没收在非法转</w:t>
      </w:r>
      <w:r w:rsidRPr="004C6F9E">
        <w:rPr>
          <w:rFonts w:ascii="仿宋_GB2312" w:eastAsia="仿宋_GB2312" w:hAnsi="微软雅黑" w:cs="宋体" w:hint="eastAsia"/>
          <w:color w:val="333333"/>
          <w:spacing w:val="8"/>
          <w:sz w:val="32"/>
          <w:szCs w:val="32"/>
        </w:rPr>
        <w:lastRenderedPageBreak/>
        <w:t>让的土地上新建的建筑物和其他设施；可以并处罚款；对直接负责的主管人员和其他直接责任人员，依法给予处分；构成犯罪的，依法追究刑事责任。</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第七十五条　违反本法规定，占用耕地建窑、建坟或者擅自在耕地上建房、挖砂、采石、采矿、取土等，破坏种植条件的，或者因开发土地造成土地荒漠化、盐渍化的，由县级以上人民政府自然资源主管部门、农业农村主管部门等按照职责责令限期改正或者治理，可以并处罚款；构成犯罪的，依法追究刑事责任。</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第七十六条　违反本法规定，拒不履行土地复垦义务的，由县级以上人民政府自然资源主管部门责令限期改正；逾期不改正的，责令缴纳复垦费，专项用于土地复垦，可以处以罚款。</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第七十七条　未经批准或者采取欺骗手段骗取批准，非法占用土地的，由县级以上人民政府自然资源主管部门责令退还非法占用的土地，对违反土地利用总体规划擅自将农用地改为建设用地的，限期拆除在非法占用的土地上新建的建筑物和其他设施，恢复土地原状，对符合土地利用总体规划的，没收在非法占用的土地上新建的建筑物和其他设施，可以并处罚款；对非法占用土地单位的直接负责的主管人员和其他直接责任人员，依法给予处分；构成犯罪的，依法追究刑事责任。</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超过批准的数量占用土地，多占的土地以非法占用土地论处。</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lastRenderedPageBreak/>
        <w:t>第七十八条　农村村民未经批准或者采取欺骗手段骗取批准，非法占用土地建住宅的，由县级以上人民政府农业农村主管部门责令退还非法占用的土地，限期拆除在非法占用的土地上新建的房屋。</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超过省、自治区、直辖市规定的标准，多占的土地以非法占用土地论处。</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 xml:space="preserve">第七十九条　无权批准征收、使用土地的单位或者个人非法批准占用土地的，超越批准权限非法批准占用土地的，不按照土地利用总体规划确定的用途批准用地的，或者违反法律规定的程序批准占用、征收土地的，其批准文件无效，对非法批准征收、使用土地的直接负责的主管人员和其他直接责任人员，依法给予处分；构成犯罪的，依法追究刑事责任。非法批准、使用的土地应当收回，有关当事人拒不归还的，以非法占用土地论处。　</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非法批准征收、使用土地，对当事人造成损失的，依法应当承担赔偿责任。</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第八十条　侵占、挪用被征收土地单位的征地补偿费用和其他有关费用，构成犯罪的，依法追究刑事责任；尚不构成犯罪的，依法给予处分。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第八十一条　依法收回国有土地使用权当事人拒不交出土地的，临时使用土地期满拒不归还的，或者不按照批准的用途使用国有土地的，由县级以上人民政府自然资源主管部门责令交还土地，处以罚款。</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第八十二条　擅自将农民集体所有的土地通过出让、转让使用权或者出租等方式用于非农业建设，或者违反本</w:t>
      </w:r>
      <w:r w:rsidRPr="004C6F9E">
        <w:rPr>
          <w:rFonts w:ascii="仿宋_GB2312" w:eastAsia="仿宋_GB2312" w:hAnsi="微软雅黑" w:cs="宋体" w:hint="eastAsia"/>
          <w:color w:val="333333"/>
          <w:spacing w:val="8"/>
          <w:sz w:val="32"/>
          <w:szCs w:val="32"/>
        </w:rPr>
        <w:lastRenderedPageBreak/>
        <w:t>法规定，将集体经营性建设用地通过出让、出租等方式交由单位或者个人使用的，由县级以上人民政府自然资源主管部门责令限期改正，没收违法所得，并处罚款。</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第八十三条　依照本法规定，责令限期拆除在非法占用的土地上新建的建筑物和其他设施的，建设单位或者个人必须立即停止施工，自行拆除；对继续施工的，作出处罚决定的机关有权制止。建设单位或者个人对责令限期拆除的行政处罚决定不服的，可以在接到责令限期拆除决定之日起十五日内，向人民法院起诉；期满不起诉又不自行拆除的，由作出处罚决定的机关依法申请人民法院强制执行，费用由违法者承担。</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第八十四条　自然资源主管部门、农业农村主管部门的工作人员玩忽职守、滥用职权、徇私舞弊，构成犯罪的，依法追究刑事责任；尚不构成犯罪的，依法给予处分。</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b/>
          <w:bCs/>
          <w:color w:val="333333"/>
          <w:spacing w:val="8"/>
          <w:sz w:val="32"/>
          <w:szCs w:val="32"/>
        </w:rPr>
        <w:t>第八章　附　　则</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第八十五条　外商投资企业使用土地的，适用本法；法律另有规定的，从其规定。</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第八十六条　在根据本法第十八条的规定编制国土空间规划前，经依法批准的土地利用总体规划和城乡规划继续执行。</w:t>
      </w: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p>
    <w:p w:rsidR="004C6F9E" w:rsidRPr="004C6F9E" w:rsidRDefault="004C6F9E" w:rsidP="004C6F9E">
      <w:pPr>
        <w:shd w:val="clear" w:color="auto" w:fill="FFFFFF"/>
        <w:adjustRightInd/>
        <w:snapToGrid/>
        <w:spacing w:after="0" w:line="480" w:lineRule="atLeast"/>
        <w:ind w:firstLine="480"/>
        <w:jc w:val="both"/>
        <w:rPr>
          <w:rFonts w:ascii="仿宋_GB2312" w:eastAsia="仿宋_GB2312" w:hAnsi="微软雅黑" w:cs="宋体" w:hint="eastAsia"/>
          <w:color w:val="333333"/>
          <w:spacing w:val="8"/>
          <w:sz w:val="32"/>
          <w:szCs w:val="32"/>
        </w:rPr>
      </w:pPr>
      <w:r w:rsidRPr="004C6F9E">
        <w:rPr>
          <w:rFonts w:ascii="仿宋_GB2312" w:eastAsia="仿宋_GB2312" w:hAnsi="微软雅黑" w:cs="宋体" w:hint="eastAsia"/>
          <w:color w:val="333333"/>
          <w:spacing w:val="8"/>
          <w:sz w:val="32"/>
          <w:szCs w:val="32"/>
        </w:rPr>
        <w:t>第八十七条　本法自1999年1月1日起施行。</w:t>
      </w:r>
    </w:p>
    <w:p w:rsidR="004358AB" w:rsidRPr="004C6F9E" w:rsidRDefault="004358AB" w:rsidP="00D31D50">
      <w:pPr>
        <w:spacing w:line="220" w:lineRule="atLeast"/>
        <w:rPr>
          <w:rFonts w:ascii="仿宋_GB2312" w:eastAsia="仿宋_GB2312" w:hint="eastAsia"/>
          <w:sz w:val="32"/>
          <w:szCs w:val="32"/>
        </w:rPr>
      </w:pPr>
    </w:p>
    <w:sectPr w:rsidR="004358AB" w:rsidRPr="004C6F9E"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0000000000000000000"/>
    <w:charset w:val="00"/>
    <w:family w:val="roman"/>
    <w:notTrueType/>
    <w:pitch w:val="default"/>
    <w:sig w:usb0="00000000" w:usb1="00000000" w:usb2="00000000" w:usb3="00000000" w:csb0="00000000" w:csb1="00000000"/>
  </w:font>
  <w:font w:name="微软雅黑">
    <w:altName w:val="hakuyoxingshu7000"/>
    <w:charset w:val="86"/>
    <w:family w:val="swiss"/>
    <w:pitch w:val="variable"/>
    <w:sig w:usb0="00000000"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4C6F9E"/>
    <w:rsid w:val="008B7726"/>
    <w:rsid w:val="00AC1219"/>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4C6F9E"/>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4C6F9E"/>
    <w:rPr>
      <w:rFonts w:ascii="宋体" w:eastAsia="宋体" w:hAnsi="宋体" w:cs="宋体"/>
      <w:b/>
      <w:bCs/>
      <w:sz w:val="36"/>
      <w:szCs w:val="36"/>
    </w:rPr>
  </w:style>
  <w:style w:type="character" w:customStyle="1" w:styleId="richmediameta">
    <w:name w:val="rich_media_meta"/>
    <w:basedOn w:val="a0"/>
    <w:rsid w:val="004C6F9E"/>
  </w:style>
  <w:style w:type="character" w:styleId="a3">
    <w:name w:val="Hyperlink"/>
    <w:basedOn w:val="a0"/>
    <w:uiPriority w:val="99"/>
    <w:semiHidden/>
    <w:unhideWhenUsed/>
    <w:rsid w:val="004C6F9E"/>
    <w:rPr>
      <w:color w:val="0000FF"/>
      <w:u w:val="single"/>
    </w:rPr>
  </w:style>
  <w:style w:type="character" w:customStyle="1" w:styleId="apple-converted-space">
    <w:name w:val="apple-converted-space"/>
    <w:basedOn w:val="a0"/>
    <w:rsid w:val="004C6F9E"/>
  </w:style>
  <w:style w:type="character" w:styleId="a4">
    <w:name w:val="Emphasis"/>
    <w:basedOn w:val="a0"/>
    <w:uiPriority w:val="20"/>
    <w:qFormat/>
    <w:rsid w:val="004C6F9E"/>
    <w:rPr>
      <w:i/>
      <w:iCs/>
    </w:rPr>
  </w:style>
  <w:style w:type="paragraph" w:styleId="a5">
    <w:name w:val="Normal (Web)"/>
    <w:basedOn w:val="a"/>
    <w:uiPriority w:val="99"/>
    <w:semiHidden/>
    <w:unhideWhenUsed/>
    <w:rsid w:val="004C6F9E"/>
    <w:pPr>
      <w:adjustRightInd/>
      <w:snapToGrid/>
      <w:spacing w:before="100" w:beforeAutospacing="1" w:after="100" w:afterAutospacing="1"/>
    </w:pPr>
    <w:rPr>
      <w:rFonts w:ascii="宋体" w:eastAsia="宋体" w:hAnsi="宋体" w:cs="宋体"/>
      <w:sz w:val="24"/>
      <w:szCs w:val="24"/>
    </w:rPr>
  </w:style>
  <w:style w:type="character" w:styleId="a6">
    <w:name w:val="Strong"/>
    <w:basedOn w:val="a0"/>
    <w:uiPriority w:val="22"/>
    <w:qFormat/>
    <w:rsid w:val="004C6F9E"/>
    <w:rPr>
      <w:b/>
      <w:bCs/>
    </w:rPr>
  </w:style>
</w:styles>
</file>

<file path=word/webSettings.xml><?xml version="1.0" encoding="utf-8"?>
<w:webSettings xmlns:r="http://schemas.openxmlformats.org/officeDocument/2006/relationships" xmlns:w="http://schemas.openxmlformats.org/wordprocessingml/2006/main">
  <w:divs>
    <w:div w:id="279336377">
      <w:bodyDiv w:val="1"/>
      <w:marLeft w:val="0"/>
      <w:marRight w:val="0"/>
      <w:marTop w:val="0"/>
      <w:marBottom w:val="0"/>
      <w:divBdr>
        <w:top w:val="none" w:sz="0" w:space="0" w:color="auto"/>
        <w:left w:val="none" w:sz="0" w:space="0" w:color="auto"/>
        <w:bottom w:val="none" w:sz="0" w:space="0" w:color="auto"/>
        <w:right w:val="none" w:sz="0" w:space="0" w:color="auto"/>
      </w:divBdr>
      <w:divsChild>
        <w:div w:id="775562770">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26</Pages>
  <Words>2025</Words>
  <Characters>11549</Characters>
  <Application>Microsoft Office Word</Application>
  <DocSecurity>0</DocSecurity>
  <Lines>96</Lines>
  <Paragraphs>27</Paragraphs>
  <ScaleCrop>false</ScaleCrop>
  <Company/>
  <LinksUpToDate>false</LinksUpToDate>
  <CharactersWithSpaces>13547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2020-07-15T08:09:00Z</dcterms:modified>
</cp:coreProperties>
</file>