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工作流程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32" w:beforeAutospacing="0" w:after="378" w:afterAutospacing="0"/>
        <w:ind w:left="0" w:right="0" w:firstLine="0"/>
        <w:jc w:val="left"/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</w:rPr>
      </w:pPr>
      <w:r>
        <w:rPr>
          <w:rFonts w:hint="default" w:ascii="Arial" w:hAnsi="Arial" w:eastAsia="Arial" w:cs="Arial"/>
          <w:i w:val="0"/>
          <w:caps w:val="0"/>
          <w:color w:val="191919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6096000" cy="7610475"/>
            <wp:effectExtent l="0" t="0" r="0" b="9525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7610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500" w:firstLineChars="5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受理告知书、不再受理告知书、不予受理告知书、处理意见书、都必须经主管局长审核后报局长签字方可发出。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ED4E86"/>
    <w:rsid w:val="1EED4E86"/>
    <w:rsid w:val="26EE30B3"/>
    <w:rsid w:val="560B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2020-07-15T01:14:00Z</dcterms:created>
  <dc:creator>袁东升</dc:creator>
  <cp:lastModifiedBy>方舟</cp:lastModifiedBy>
  <dcterms:modified xsi:type="dcterms:W3CDTF">2020-08-18T01:10:29Z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